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53"/>
        <w:tblW w:w="0" w:type="auto"/>
        <w:tblLook w:val="04A0" w:firstRow="1" w:lastRow="0" w:firstColumn="1" w:lastColumn="0" w:noHBand="0" w:noVBand="1"/>
      </w:tblPr>
      <w:tblGrid>
        <w:gridCol w:w="3539"/>
        <w:gridCol w:w="5387"/>
      </w:tblGrid>
      <w:tr>
        <w:trPr/>
        <w:tc>
          <w:tcPr>
            <w:tcW w:w="3539" w:type="dxa"/>
            <w:textDirection w:val="lrTb"/>
            <w:noWrap w:val="false"/>
          </w:tcPr>
          <w:p>
            <w:pPr>
              <w:rPr>
                <w:rFonts w:ascii="Times New Roman"/>
                <w:sz w:val="24"/>
              </w:rPr>
            </w:pPr>
            <w:r>
              <w:rPr>
                <w:rFonts w:ascii="Times New Roman"/>
                <w:sz w:val="24"/>
              </w:rPr>
              <w:t xml:space="preserve">Ф.И.О.</w:t>
            </w:r>
            <w:r/>
          </w:p>
        </w:tc>
        <w:tc>
          <w:tcPr>
            <w:tcW w:w="5387" w:type="dxa"/>
            <w:textDirection w:val="lrTb"/>
            <w:noWrap w:val="false"/>
          </w:tcPr>
          <w:p>
            <w:pPr>
              <w:jc w:val="both"/>
              <w:rPr>
                <w:rFonts w:ascii="Times New Roman"/>
                <w:sz w:val="24"/>
              </w:rPr>
            </w:pPr>
            <w:r>
              <w:rPr>
                <w:rFonts w:ascii="Times New Roman"/>
                <w:sz w:val="24"/>
              </w:rPr>
              <w:t xml:space="preserve">Бережнова Татьяна Александровна</w:t>
            </w:r>
            <w:r/>
          </w:p>
        </w:tc>
      </w:tr>
      <w:tr>
        <w:trPr/>
        <w:tc>
          <w:tcPr>
            <w:tcW w:w="3539" w:type="dxa"/>
            <w:textDirection w:val="lrTb"/>
            <w:noWrap w:val="false"/>
          </w:tcPr>
          <w:p>
            <w:pPr>
              <w:rPr>
                <w:rFonts w:ascii="Times New Roman"/>
                <w:sz w:val="24"/>
              </w:rPr>
            </w:pPr>
            <w:r>
              <w:rPr>
                <w:rFonts w:ascii="Times New Roman"/>
                <w:sz w:val="24"/>
              </w:rPr>
              <w:t xml:space="preserve">Ученая степень, ученое звание, должность</w:t>
            </w:r>
            <w:r/>
          </w:p>
        </w:tc>
        <w:tc>
          <w:tcPr>
            <w:tcW w:w="5387" w:type="dxa"/>
            <w:textDirection w:val="lrTb"/>
            <w:noWrap w:val="false"/>
          </w:tcPr>
          <w:p>
            <w:pPr>
              <w:jc w:val="both"/>
              <w:rPr>
                <w:rFonts w:ascii="Times New Roman"/>
                <w:sz w:val="24"/>
              </w:rPr>
            </w:pPr>
            <w:r>
              <w:rPr>
                <w:rFonts w:ascii="Times New Roman"/>
                <w:sz w:val="24"/>
              </w:rPr>
              <w:t xml:space="preserve">доктор медицинских наук</w:t>
            </w:r>
            <w:r/>
          </w:p>
          <w:p>
            <w:pPr>
              <w:jc w:val="both"/>
              <w:rPr>
                <w:rFonts w:ascii="Times New Roman"/>
                <w:sz w:val="24"/>
              </w:rPr>
            </w:pPr>
            <w:r>
              <w:rPr>
                <w:rFonts w:ascii="Times New Roman"/>
                <w:sz w:val="24"/>
              </w:rPr>
              <w:t xml:space="preserve">профессор</w:t>
            </w:r>
            <w:r>
              <w:rPr>
                <w:rFonts w:ascii="Times New Roman"/>
                <w:sz w:val="24"/>
              </w:rPr>
              <w:t xml:space="preserve">, зав. кафедрой</w:t>
            </w:r>
            <w:r>
              <w:rPr>
                <w:rFonts w:ascii="Times New Roman"/>
                <w:sz w:val="24"/>
              </w:rPr>
              <w:t xml:space="preserve"> фармакологии</w:t>
            </w:r>
            <w:r/>
          </w:p>
        </w:tc>
      </w:tr>
      <w:tr>
        <w:trPr/>
        <w:tc>
          <w:tcPr>
            <w:tcW w:w="3539" w:type="dxa"/>
            <w:textDirection w:val="lrTb"/>
            <w:noWrap w:val="false"/>
          </w:tcPr>
          <w:p>
            <w:pPr>
              <w:rPr>
                <w:rFonts w:ascii="Times New Roman"/>
                <w:sz w:val="24"/>
              </w:rPr>
            </w:pPr>
            <w:r>
              <w:rPr>
                <w:rFonts w:ascii="Times New Roman"/>
                <w:sz w:val="24"/>
              </w:rPr>
              <w:t xml:space="preserve">Название структурного подразделения</w:t>
            </w:r>
            <w:r/>
          </w:p>
        </w:tc>
        <w:tc>
          <w:tcPr>
            <w:tcW w:w="5387" w:type="dxa"/>
            <w:textDirection w:val="lrTb"/>
            <w:noWrap w:val="false"/>
          </w:tcPr>
          <w:p>
            <w:pPr>
              <w:jc w:val="both"/>
              <w:rPr>
                <w:rFonts w:ascii="Times New Roman"/>
                <w:sz w:val="24"/>
              </w:rPr>
            </w:pPr>
            <w:r>
              <w:rPr>
                <w:rFonts w:ascii="Times New Roman"/>
                <w:sz w:val="24"/>
              </w:rPr>
              <w:t xml:space="preserve">кафедра </w:t>
            </w:r>
            <w:r>
              <w:rPr>
                <w:rFonts w:ascii="Times New Roman"/>
                <w:sz w:val="24"/>
              </w:rPr>
              <w:t xml:space="preserve">фармакологии</w:t>
            </w:r>
            <w:r/>
            <w:r>
              <w:rPr>
                <w:rFonts w:ascii="Times New Roman"/>
                <w:sz w:val="24"/>
              </w:rPr>
            </w:r>
            <w:r/>
          </w:p>
        </w:tc>
      </w:tr>
      <w:tr>
        <w:trPr/>
        <w:tc>
          <w:tcPr>
            <w:tcW w:w="3539" w:type="dxa"/>
            <w:textDirection w:val="lrTb"/>
            <w:noWrap w:val="false"/>
          </w:tcPr>
          <w:p>
            <w:pPr>
              <w:rPr>
                <w:rFonts w:ascii="Times New Roman"/>
                <w:sz w:val="24"/>
              </w:rPr>
            </w:pPr>
            <w:r>
              <w:rPr>
                <w:rFonts w:ascii="Times New Roman"/>
                <w:sz w:val="24"/>
              </w:rPr>
              <w:t xml:space="preserve">Электронная почта</w:t>
            </w:r>
            <w:r/>
          </w:p>
        </w:tc>
        <w:tc>
          <w:tcPr>
            <w:tcW w:w="5387" w:type="dxa"/>
            <w:textDirection w:val="lrTb"/>
            <w:noWrap w:val="false"/>
          </w:tcPr>
          <w:p>
            <w:pPr>
              <w:jc w:val="both"/>
              <w:rPr>
                <w:rFonts w:ascii="Times New Roman"/>
                <w:sz w:val="24"/>
              </w:rPr>
            </w:pPr>
            <w:r>
              <w:rPr>
                <w:rFonts w:ascii="Times New Roman"/>
                <w:sz w:val="24"/>
              </w:rPr>
            </w:r>
            <w:r>
              <w:rPr>
                <w:rFonts w:ascii="Times New Roman"/>
                <w:sz w:val="24"/>
              </w:rPr>
              <w:t xml:space="preserve">berezhnova-tatjana@rambler.ru</w:t>
            </w:r>
            <w:r>
              <w:rPr>
                <w:rFonts w:ascii="Times New Roman"/>
                <w:sz w:val="24"/>
              </w:rPr>
            </w:r>
            <w:r/>
          </w:p>
        </w:tc>
      </w:tr>
      <w:tr>
        <w:trPr/>
        <w:tc>
          <w:tcPr>
            <w:tcW w:w="3539" w:type="dxa"/>
            <w:textDirection w:val="lrTb"/>
            <w:noWrap w:val="false"/>
          </w:tcPr>
          <w:p>
            <w:pPr>
              <w:rPr>
                <w:rFonts w:ascii="Times New Roman"/>
                <w:sz w:val="24"/>
              </w:rPr>
            </w:pPr>
            <w:r>
              <w:rPr>
                <w:rFonts w:ascii="Times New Roman"/>
                <w:sz w:val="24"/>
              </w:rPr>
              <w:t xml:space="preserve">Конт. тел.</w:t>
            </w:r>
            <w:r/>
          </w:p>
        </w:tc>
        <w:tc>
          <w:tcPr>
            <w:tcW w:w="5387" w:type="dxa"/>
            <w:textDirection w:val="lrTb"/>
            <w:noWrap w:val="false"/>
          </w:tcPr>
          <w:p>
            <w:pPr>
              <w:jc w:val="both"/>
              <w:rPr>
                <w:rFonts w:ascii="Times New Roman"/>
                <w:sz w:val="24"/>
              </w:rPr>
            </w:pPr>
            <w:r>
              <w:rPr>
                <w:rFonts w:ascii="Times New Roman"/>
                <w:sz w:val="24"/>
              </w:rPr>
              <w:t xml:space="preserve">8(951)-553-90-69</w:t>
            </w:r>
            <w:r/>
          </w:p>
        </w:tc>
      </w:tr>
      <w:tr>
        <w:trPr/>
        <w:tc>
          <w:tcPr>
            <w:tcW w:w="3539" w:type="dxa"/>
            <w:textDirection w:val="lrTb"/>
            <w:noWrap w:val="false"/>
          </w:tcPr>
          <w:p>
            <w:pPr>
              <w:rPr>
                <w:rFonts w:ascii="Times New Roman"/>
                <w:sz w:val="24"/>
              </w:rPr>
            </w:pPr>
            <w:r>
              <w:rPr>
                <w:rFonts w:ascii="Times New Roman"/>
                <w:sz w:val="24"/>
              </w:rPr>
              <w:t xml:space="preserve">Владение языками</w:t>
            </w:r>
            <w:r/>
          </w:p>
        </w:tc>
        <w:tc>
          <w:tcPr>
            <w:tcW w:w="5387" w:type="dxa"/>
            <w:textDirection w:val="lrTb"/>
            <w:noWrap w:val="false"/>
          </w:tcPr>
          <w:p>
            <w:pPr>
              <w:jc w:val="both"/>
              <w:rPr>
                <w:rFonts w:ascii="Times New Roman"/>
                <w:sz w:val="24"/>
              </w:rPr>
            </w:pPr>
            <w:r>
              <w:rPr>
                <w:rFonts w:ascii="Times New Roman"/>
                <w:sz w:val="24"/>
              </w:rPr>
              <w:t xml:space="preserve">английский – средний уровень </w:t>
            </w:r>
            <w:r/>
          </w:p>
        </w:tc>
      </w:tr>
      <w:tr>
        <w:trPr/>
        <w:tc>
          <w:tcPr>
            <w:tcW w:w="3539" w:type="dxa"/>
            <w:textDirection w:val="lrTb"/>
            <w:noWrap w:val="false"/>
          </w:tcPr>
          <w:p>
            <w:pPr>
              <w:rPr>
                <w:rFonts w:ascii="Times New Roman"/>
                <w:sz w:val="24"/>
              </w:rPr>
            </w:pPr>
            <w:r>
              <w:rPr>
                <w:rFonts w:ascii="Times New Roman"/>
                <w:sz w:val="24"/>
              </w:rPr>
              <w:t xml:space="preserve">Основные направления научной деятельности</w:t>
            </w:r>
            <w:r/>
          </w:p>
        </w:tc>
        <w:tc>
          <w:tcPr>
            <w:tcW w:w="5387" w:type="dxa"/>
            <w:textDirection w:val="lrTb"/>
            <w:noWrap w:val="false"/>
          </w:tcPr>
          <w:p>
            <w:pPr>
              <w:jc w:val="both"/>
              <w:rPr>
                <w:rFonts w:ascii="Times New Roman"/>
                <w:sz w:val="24"/>
              </w:rPr>
            </w:pPr>
            <w:r>
              <w:rPr>
                <w:rFonts w:ascii="Times New Roman"/>
                <w:sz w:val="24"/>
              </w:rPr>
            </w:r>
            <w:r>
              <w:rPr>
                <w:rFonts w:ascii="Times New Roman"/>
                <w:sz w:val="24"/>
              </w:rPr>
              <w:t xml:space="preserve">разработка и изучение новых биологически активных веществ, маркетинговые исследования, социально-экономические исследования, фармакоэкономический анализ лекарственной терапии при различных гнойно-воспалительных заболеваниях, изучение современной системы упр</w:t>
            </w:r>
            <w:r>
              <w:rPr>
                <w:rFonts w:ascii="Times New Roman"/>
                <w:sz w:val="24"/>
              </w:rPr>
              <w:t xml:space="preserve">авления качеством лекарственного обеспечения населения в аптеках, менеджмент фармацевтических организаций.</w:t>
            </w:r>
            <w:r>
              <w:rPr>
                <w:rFonts w:ascii="Times New Roman"/>
                <w:sz w:val="24"/>
              </w:rPr>
            </w:r>
            <w:r/>
          </w:p>
        </w:tc>
      </w:tr>
      <w:tr>
        <w:trPr/>
        <w:tc>
          <w:tcPr>
            <w:gridSpan w:val="2"/>
            <w:tcW w:w="8926" w:type="dxa"/>
            <w:textDirection w:val="lrTb"/>
            <w:noWrap w:val="false"/>
          </w:tcPr>
          <w:p>
            <w:pPr>
              <w:rPr>
                <w:rFonts w:ascii="Times New Roman"/>
                <w:sz w:val="24"/>
              </w:rPr>
            </w:pPr>
            <w:r>
              <w:rPr>
                <w:rFonts w:ascii="Times New Roman"/>
                <w:sz w:val="24"/>
              </w:rPr>
              <w:t xml:space="preserve">Публикации (20</w:t>
            </w:r>
            <w:r>
              <w:rPr>
                <w:rFonts w:ascii="Times New Roman"/>
                <w:sz w:val="24"/>
              </w:rPr>
              <w:t xml:space="preserve">21</w:t>
            </w:r>
            <w:r>
              <w:rPr>
                <w:rFonts w:ascii="Times New Roman"/>
                <w:sz w:val="24"/>
              </w:rPr>
              <w:t xml:space="preserve">-202</w:t>
            </w:r>
            <w:r>
              <w:rPr>
                <w:rFonts w:ascii="Times New Roman"/>
                <w:sz w:val="24"/>
              </w:rPr>
              <w:t xml:space="preserve">3</w:t>
            </w:r>
            <w:r>
              <w:rPr>
                <w:rFonts w:ascii="Times New Roman"/>
                <w:sz w:val="24"/>
              </w:rPr>
              <w:t xml:space="preserve">):</w:t>
            </w:r>
            <w:r/>
          </w:p>
          <w:p>
            <w:pPr>
              <w:pStyle w:val="635"/>
              <w:numPr>
                <w:ilvl w:val="0"/>
                <w:numId w:val="1"/>
              </w:numPr>
              <w:jc w:val="both"/>
              <w:spacing w:after="160"/>
            </w:pPr>
            <w:r>
              <w:rPr>
                <w:rFonts w:ascii="Times New Roman"/>
                <w:sz w:val="24"/>
                <w:szCs w:val="24"/>
              </w:rPr>
              <w:t xml:space="preserve">Метеорологическая обстановка урбанизированной территории как фактор возникновения у населения заболеваний сердечно-сосудистой системы/ </w:t>
            </w:r>
            <w:r>
              <w:rPr>
                <w:rFonts w:ascii="Times New Roman"/>
                <w:sz w:val="24"/>
                <w:szCs w:val="24"/>
              </w:rPr>
            </w:r>
            <w:r>
              <w:rPr>
                <w:rFonts w:ascii="Times New Roman"/>
                <w:sz w:val="24"/>
                <w:szCs w:val="24"/>
              </w:rPr>
              <w:t xml:space="preserve">Колягина Н.М., Бережнова Т.А., Клепиков О.В., Епринцев С.А., Шекоян С.В.//</w:t>
            </w:r>
            <w:r>
              <w:rPr>
                <w:rFonts w:ascii="Times New Roman"/>
                <w:sz w:val="24"/>
                <w:szCs w:val="24"/>
              </w:rPr>
            </w:r>
            <w:r>
              <w:rPr>
                <w:rFonts w:ascii="Times New Roman"/>
                <w:sz w:val="24"/>
                <w:szCs w:val="24"/>
              </w:rPr>
              <w:t xml:space="preserve">Региональные геосистемы. 2021. Т. 45. № 3. С. 414-430.</w:t>
            </w:r>
            <w:r>
              <w:rPr>
                <w:rFonts w:ascii="Times New Roman"/>
                <w:sz w:val="24"/>
                <w:szCs w:val="24"/>
              </w:rPr>
            </w:r>
            <w:r>
              <w:rPr>
                <w:rFonts w:ascii="Times New Roman"/>
                <w:sz w:val="24"/>
                <w:szCs w:val="24"/>
              </w:rPr>
            </w:r>
            <w:r/>
          </w:p>
          <w:p>
            <w:pPr>
              <w:pStyle w:val="635"/>
              <w:numPr>
                <w:ilvl w:val="0"/>
                <w:numId w:val="1"/>
              </w:numPr>
              <w:jc w:val="both"/>
              <w:spacing w:after="160"/>
            </w:pPr>
            <w:r>
              <w:rPr>
                <w:rFonts w:ascii="Times New Roman"/>
                <w:sz w:val="24"/>
                <w:szCs w:val="24"/>
                <w:highlight w:val="none"/>
              </w:rPr>
              <w:t xml:space="preserve">Оценка вероятной взаимосвязи обострений болезней сердечно-сосудистой системы с метеорологической обстановкой/</w:t>
            </w:r>
            <w:r>
              <w:rPr>
                <w:rFonts w:ascii="Times New Roman"/>
                <w:sz w:val="24"/>
                <w:szCs w:val="24"/>
                <w:highlight w:val="none"/>
              </w:rPr>
            </w:r>
            <w:r>
              <w:rPr>
                <w:rFonts w:ascii="Times New Roman"/>
                <w:sz w:val="24"/>
                <w:szCs w:val="24"/>
                <w:highlight w:val="none"/>
              </w:rPr>
              <w:t xml:space="preserve">Бережнова Т.А., Кулинцова Я.В., Маслов О.В., Колягина Н.М., Пономарёва Е.А.//</w:t>
            </w:r>
            <w:r>
              <w:rPr>
                <w:rFonts w:ascii="Times New Roman"/>
                <w:sz w:val="24"/>
                <w:szCs w:val="24"/>
                <w:highlight w:val="none"/>
              </w:rPr>
            </w:r>
            <w:r>
              <w:rPr>
                <w:rFonts w:ascii="Times New Roman"/>
                <w:sz w:val="24"/>
                <w:szCs w:val="24"/>
                <w:highlight w:val="none"/>
              </w:rPr>
              <w:t xml:space="preserve">Медико-фармацевтический журнал Пульс. 2021. Т. 23. № 8. С. 63-69.</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Неблагоприятная метеорологическая обстановка как фактор риска развития кардиоваскулярных заболеваний/</w:t>
            </w:r>
            <w:r>
              <w:rPr>
                <w:rFonts w:ascii="Times New Roman"/>
                <w:sz w:val="24"/>
                <w:szCs w:val="24"/>
                <w:highlight w:val="none"/>
              </w:rPr>
            </w:r>
            <w:r>
              <w:rPr>
                <w:rFonts w:ascii="Times New Roman"/>
                <w:sz w:val="24"/>
                <w:szCs w:val="24"/>
                <w:highlight w:val="none"/>
              </w:rPr>
              <w:t xml:space="preserve">Колягина Н.М., Бережнова Т.А., Кулинцова Я.В., Елистратова О.С., Драпалюк М.А.//</w:t>
            </w:r>
            <w:r>
              <w:rPr>
                <w:rFonts w:ascii="Times New Roman"/>
                <w:sz w:val="24"/>
                <w:szCs w:val="24"/>
                <w:highlight w:val="none"/>
              </w:rPr>
            </w:r>
            <w:r>
              <w:rPr>
                <w:rFonts w:ascii="Times New Roman"/>
                <w:sz w:val="24"/>
                <w:szCs w:val="24"/>
                <w:highlight w:val="none"/>
              </w:rPr>
              <w:t xml:space="preserve">Медико-фармацевтический журнал Пульс. 2021. Т. 23. № 8. С. 28-33.</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Оценка обращаемости пациентов с болезнями сердечно-сосудистой системы за медицинской помощью в неблагоприятные по метеофакторам дни/</w:t>
            </w:r>
            <w:r>
              <w:rPr>
                <w:rFonts w:ascii="Times New Roman"/>
                <w:sz w:val="24"/>
                <w:szCs w:val="24"/>
                <w:highlight w:val="none"/>
              </w:rPr>
            </w:r>
            <w:r>
              <w:rPr>
                <w:rFonts w:ascii="Times New Roman"/>
                <w:sz w:val="24"/>
                <w:szCs w:val="24"/>
                <w:highlight w:val="none"/>
              </w:rPr>
              <w:t xml:space="preserve">Колягина Н.М., Бережнова Т.А., Кулинцова Я.В., Елистратова О.С., Драпалюк М.А.//</w:t>
            </w:r>
            <w:r>
              <w:rPr>
                <w:rFonts w:ascii="Times New Roman"/>
                <w:sz w:val="24"/>
                <w:szCs w:val="24"/>
                <w:highlight w:val="none"/>
              </w:rPr>
            </w:r>
            <w:r>
              <w:rPr>
                <w:rFonts w:ascii="Times New Roman"/>
                <w:sz w:val="24"/>
                <w:szCs w:val="24"/>
                <w:highlight w:val="none"/>
              </w:rPr>
              <w:t xml:space="preserve">Медико-фармацевтический журнал Пульс. 2021. Т. 23. № 8. С. 117-123.</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Изучение взаимосвязи между обострением сердечно-сосудистой патологии и метеофакторами/</w:t>
            </w:r>
            <w:r>
              <w:rPr>
                <w:rFonts w:ascii="Times New Roman"/>
                <w:sz w:val="24"/>
                <w:szCs w:val="24"/>
                <w:highlight w:val="none"/>
              </w:rPr>
            </w:r>
            <w:r>
              <w:rPr>
                <w:rFonts w:ascii="Times New Roman"/>
                <w:sz w:val="24"/>
                <w:szCs w:val="24"/>
                <w:highlight w:val="none"/>
              </w:rPr>
              <w:t xml:space="preserve">Клепиков О.В., Бережнова Т.А., Кулинцова Я.В., Колягина Н.М.//</w:t>
            </w:r>
            <w:r>
              <w:rPr>
                <w:rFonts w:ascii="Times New Roman"/>
                <w:sz w:val="24"/>
                <w:szCs w:val="24"/>
                <w:highlight w:val="none"/>
              </w:rPr>
            </w:r>
            <w:r>
              <w:rPr>
                <w:rFonts w:ascii="Times New Roman"/>
                <w:sz w:val="24"/>
                <w:szCs w:val="24"/>
                <w:highlight w:val="none"/>
              </w:rPr>
              <w:t xml:space="preserve">Медико-фармацевтический журнал Пульс. 2021. Т. 23. № 8. С. 110-116.</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Данные анкетирования фармацевтических работников о рецептурном отпуске лекарственных препаратов в аптечных организациях воронежской области/</w:t>
            </w:r>
            <w:r>
              <w:rPr>
                <w:rFonts w:ascii="Times New Roman"/>
                <w:sz w:val="24"/>
                <w:szCs w:val="24"/>
                <w:highlight w:val="none"/>
              </w:rPr>
            </w:r>
            <w:r>
              <w:rPr>
                <w:rFonts w:ascii="Times New Roman"/>
                <w:sz w:val="24"/>
                <w:szCs w:val="24"/>
                <w:highlight w:val="none"/>
              </w:rPr>
              <w:t xml:space="preserve">Бережнова Т.А., Лунёва Е.А., Уйманова А.А.//</w:t>
            </w:r>
            <w:r>
              <w:rPr>
                <w:rFonts w:ascii="Times New Roman"/>
                <w:sz w:val="24"/>
                <w:szCs w:val="24"/>
                <w:highlight w:val="none"/>
              </w:rPr>
            </w:r>
            <w:r>
              <w:rPr>
                <w:rFonts w:ascii="Times New Roman"/>
                <w:sz w:val="24"/>
                <w:szCs w:val="24"/>
                <w:highlight w:val="none"/>
              </w:rPr>
              <w:t xml:space="preserve">Научно-медицинский вестник Центрального Черноземья. 2021. № 86. С. 56-60.</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Оценка связи обострений болезней сердечно-сосудистой системы с метеорологической обстановкой/</w:t>
            </w:r>
            <w:r>
              <w:rPr>
                <w:rFonts w:ascii="Times New Roman"/>
                <w:sz w:val="24"/>
                <w:szCs w:val="24"/>
                <w:highlight w:val="none"/>
              </w:rPr>
              <w:t xml:space="preserve">Колягина Н.М., Бережнова Т.А., Мамчик Н.П., Клепиков О.В., Епринцев С.А.//</w:t>
            </w:r>
            <w:r>
              <w:rPr>
                <w:rFonts w:ascii="Times New Roman"/>
                <w:sz w:val="24"/>
                <w:szCs w:val="24"/>
                <w:highlight w:val="none"/>
              </w:rPr>
            </w:r>
            <w:r>
              <w:rPr>
                <w:rFonts w:ascii="Times New Roman"/>
                <w:sz w:val="24"/>
                <w:szCs w:val="24"/>
                <w:highlight w:val="none"/>
              </w:rPr>
              <w:t xml:space="preserve">Гигиена и санитария. 2021. Т. 100. № 12. С. 1350-1358.</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Траектория развития фармацевтического образования на примере воронежского государственного медицинского университета имени н.Н. Бурденко/</w:t>
            </w:r>
            <w:r>
              <w:rPr>
                <w:rFonts w:ascii="Times New Roman"/>
                <w:sz w:val="24"/>
                <w:szCs w:val="24"/>
                <w:highlight w:val="none"/>
              </w:rPr>
              <w:t xml:space="preserve">Есауленко И.Э., Бережнова Т.А., Маслов О.В., Либина И.И., Лунёва Е.А.//</w:t>
            </w:r>
            <w:r>
              <w:rPr>
                <w:rFonts w:ascii="Times New Roman"/>
                <w:sz w:val="24"/>
                <w:szCs w:val="24"/>
                <w:highlight w:val="none"/>
              </w:rPr>
            </w:r>
            <w:r>
              <w:rPr>
                <w:rFonts w:ascii="Times New Roman"/>
                <w:sz w:val="24"/>
                <w:szCs w:val="24"/>
                <w:highlight w:val="none"/>
              </w:rPr>
              <w:t xml:space="preserve">Медико-фармацевтический журнал Пульс. 2022. Т. 24. № 8. С. 53-62.</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Оценка эффективности применения галеновых препаратов в качестве гипогликемических средств/</w:t>
            </w:r>
            <w:r>
              <w:rPr>
                <w:rFonts w:ascii="Times New Roman"/>
                <w:sz w:val="24"/>
                <w:szCs w:val="24"/>
                <w:highlight w:val="none"/>
              </w:rPr>
            </w:r>
            <w:r>
              <w:rPr>
                <w:rFonts w:ascii="Times New Roman"/>
                <w:sz w:val="24"/>
                <w:szCs w:val="24"/>
                <w:highlight w:val="none"/>
              </w:rPr>
              <w:t xml:space="preserve">Ульянов И.А., Коваленко И.В., Бережнова Т.А., Харина В.И., Ульянова А.В., Кристова Л.П., Чаплыгина К.Р.//</w:t>
            </w:r>
            <w:r>
              <w:rPr>
                <w:rFonts w:ascii="Times New Roman"/>
                <w:sz w:val="24"/>
                <w:szCs w:val="24"/>
                <w:highlight w:val="none"/>
              </w:rPr>
            </w:r>
            <w:r>
              <w:rPr>
                <w:rFonts w:ascii="Times New Roman"/>
                <w:sz w:val="24"/>
                <w:szCs w:val="24"/>
                <w:highlight w:val="none"/>
              </w:rPr>
              <w:t xml:space="preserve">Ветеринарный фармакологический вестник. 2022. № 1 (18). С. 50-58.</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Modern technologies of endoscopic hemostasis in the treatment of ulcer gastroduodenal bleeding: A LITERATURE REVIEW/</w:t>
            </w:r>
            <w:r>
              <w:rPr>
                <w:rFonts w:ascii="Times New Roman"/>
                <w:sz w:val="24"/>
                <w:szCs w:val="24"/>
                <w:highlight w:val="none"/>
              </w:rPr>
            </w:r>
            <w:r>
              <w:rPr>
                <w:rFonts w:ascii="Times New Roman"/>
                <w:sz w:val="24"/>
                <w:szCs w:val="24"/>
                <w:highlight w:val="none"/>
              </w:rPr>
              <w:t xml:space="preserve">Cherednikov E.F., Barannikov S.V., Yuzefovich I.S., Chernykh A.V., Berezhnova T.A., Polubkova G.V., Banin I.N., Maleev Yu.V., Ovsyannikov E.S., Shkurina I.A.//</w:t>
            </w:r>
            <w:r>
              <w:rPr>
                <w:rFonts w:ascii="Times New Roman"/>
                <w:sz w:val="24"/>
                <w:szCs w:val="24"/>
                <w:highlight w:val="none"/>
              </w:rPr>
            </w:r>
            <w:r>
              <w:rPr>
                <w:rFonts w:ascii="Times New Roman"/>
                <w:sz w:val="24"/>
                <w:szCs w:val="24"/>
                <w:highlight w:val="none"/>
              </w:rPr>
              <w:t xml:space="preserve">International Journal of Biomedicine. 2022. Т. 12. № 1. С. 9-18.</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Влияние антиоксидантов растительного происхождения на когнитивные функции/</w:t>
            </w:r>
            <w:r>
              <w:rPr>
                <w:rFonts w:ascii="Times New Roman"/>
                <w:sz w:val="24"/>
                <w:szCs w:val="24"/>
                <w:highlight w:val="none"/>
              </w:rPr>
            </w:r>
            <w:r>
              <w:rPr>
                <w:rFonts w:ascii="Times New Roman"/>
                <w:sz w:val="24"/>
                <w:szCs w:val="24"/>
                <w:highlight w:val="none"/>
              </w:rPr>
              <w:t xml:space="preserve">Бережнова Т.А., Лунёва Е.А., Мисикова Ю.А., Уйманова А.А., Акиньшина А.В.//</w:t>
            </w:r>
            <w:r>
              <w:rPr>
                <w:rFonts w:ascii="Times New Roman"/>
                <w:sz w:val="24"/>
                <w:szCs w:val="24"/>
                <w:highlight w:val="none"/>
              </w:rPr>
            </w:r>
            <w:r>
              <w:rPr>
                <w:rFonts w:ascii="Times New Roman"/>
                <w:sz w:val="24"/>
                <w:szCs w:val="24"/>
                <w:highlight w:val="none"/>
              </w:rPr>
              <w:t xml:space="preserve">Научно-медицинский вестник Центрального Черноземья. 2022. № 89. С. 75-79.</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Pharmacotherapy of small cell lung cancer: current state-of-the-art/</w:t>
            </w:r>
            <w:r>
              <w:rPr>
                <w:rFonts w:ascii="Times New Roman"/>
                <w:sz w:val="24"/>
                <w:szCs w:val="24"/>
                <w:highlight w:val="none"/>
              </w:rPr>
              <w:t xml:space="preserve">Berezhnova T.A., Lunyova Ye.A., Dyadina K.S., Borisov V.A.//</w:t>
            </w:r>
            <w:r>
              <w:rPr>
                <w:rFonts w:ascii="Times New Roman"/>
                <w:sz w:val="24"/>
                <w:szCs w:val="24"/>
                <w:highlight w:val="none"/>
              </w:rPr>
            </w:r>
            <w:r>
              <w:rPr>
                <w:rFonts w:ascii="Times New Roman"/>
                <w:sz w:val="24"/>
                <w:szCs w:val="24"/>
                <w:highlight w:val="none"/>
              </w:rPr>
              <w:t xml:space="preserve">Research Results in Pharmacology. 2023. Т. 9. № 1. С. 7-16.</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Оценки экономических затрат на лекарственные препараты для химиотерапии мелкоклеточного рака легкого при различных схемах терапии/</w:t>
            </w:r>
            <w:r>
              <w:rPr>
                <w:rFonts w:ascii="Times New Roman"/>
                <w:sz w:val="24"/>
                <w:szCs w:val="24"/>
                <w:highlight w:val="none"/>
              </w:rPr>
            </w:r>
            <w:r>
              <w:rPr>
                <w:rFonts w:ascii="Times New Roman"/>
                <w:sz w:val="24"/>
                <w:szCs w:val="24"/>
                <w:highlight w:val="none"/>
              </w:rPr>
              <w:t xml:space="preserve">Бережнова Т.А., Мошуров И.П., Лунева Е.А., Борисов В.А., Кузьменко Н.Ю.//</w:t>
            </w:r>
            <w:r>
              <w:rPr>
                <w:rFonts w:ascii="Times New Roman"/>
                <w:sz w:val="24"/>
                <w:szCs w:val="24"/>
                <w:highlight w:val="none"/>
              </w:rPr>
            </w:r>
            <w:r>
              <w:rPr>
                <w:rFonts w:ascii="Times New Roman"/>
                <w:sz w:val="24"/>
                <w:szCs w:val="24"/>
                <w:highlight w:val="none"/>
              </w:rPr>
              <w:t xml:space="preserve">Вопросы обеспечения качества лекарственных средств. 2023. № 1 (39). С. 30-36.</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Метаболическая и иммуномодулирующая терапия в лечении осложненных гнойно-воспалительных заболеваний/</w:t>
            </w:r>
            <w:r>
              <w:rPr>
                <w:rFonts w:ascii="Times New Roman"/>
                <w:sz w:val="24"/>
                <w:szCs w:val="24"/>
                <w:highlight w:val="none"/>
              </w:rPr>
            </w:r>
            <w:r>
              <w:rPr>
                <w:rFonts w:ascii="Times New Roman"/>
                <w:sz w:val="24"/>
                <w:szCs w:val="24"/>
                <w:highlight w:val="none"/>
              </w:rPr>
              <w:t xml:space="preserve">Земскова В.А., Бакулева Н.И., Трубчанина Ю.А., Глаголева А.Б., Земсков А.М., Ширяев О.Ю., Бережнова Т.А., Воронцова З.А., Ширяев Н.О.//</w:t>
            </w:r>
            <w:r>
              <w:rPr>
                <w:rFonts w:ascii="Times New Roman"/>
                <w:sz w:val="24"/>
                <w:szCs w:val="24"/>
                <w:highlight w:val="none"/>
              </w:rPr>
            </w:r>
            <w:r>
              <w:rPr>
                <w:rFonts w:ascii="Times New Roman"/>
                <w:sz w:val="24"/>
                <w:szCs w:val="24"/>
                <w:highlight w:val="none"/>
              </w:rPr>
              <w:t xml:space="preserve">Вестник новых медицинских технологий. Электронное издание. 2023. Т. 17. № 4. С. 89-93.</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Влияние генеза гнойно-воспалительных заболеваний на эффективность иммунометаболической терапии иммуно-оксидантного стресса/</w:t>
            </w:r>
            <w:r>
              <w:rPr>
                <w:rFonts w:ascii="Times New Roman"/>
                <w:sz w:val="24"/>
                <w:szCs w:val="24"/>
                <w:highlight w:val="none"/>
              </w:rPr>
            </w:r>
            <w:r>
              <w:rPr>
                <w:rFonts w:ascii="Times New Roman"/>
                <w:sz w:val="24"/>
                <w:szCs w:val="24"/>
                <w:highlight w:val="none"/>
              </w:rPr>
              <w:t xml:space="preserve">Земскова В.А., Трубчанина Ю.А., Воронцова З.А., Земсков А.М., Бережнова Т.А., Золотухин О.В.//</w:t>
            </w:r>
            <w:r>
              <w:rPr>
                <w:rFonts w:ascii="Times New Roman"/>
                <w:sz w:val="24"/>
                <w:szCs w:val="24"/>
                <w:highlight w:val="none"/>
              </w:rPr>
            </w:r>
            <w:r>
              <w:rPr>
                <w:rFonts w:ascii="Times New Roman"/>
                <w:sz w:val="24"/>
                <w:szCs w:val="24"/>
                <w:highlight w:val="none"/>
              </w:rPr>
              <w:t xml:space="preserve">Вестник новых медицинских технологий. Электронное издание. 2023. Т. 17. № 3. С. 95-100.</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Иммуно-метаболическая терапия в лечении комплексной патологии гнойно-воспалительных заболеваний/</w:t>
            </w:r>
            <w:r>
              <w:rPr>
                <w:rFonts w:ascii="Times New Roman"/>
                <w:sz w:val="24"/>
                <w:szCs w:val="24"/>
                <w:highlight w:val="none"/>
              </w:rPr>
            </w:r>
            <w:r>
              <w:rPr>
                <w:rFonts w:ascii="Times New Roman"/>
                <w:sz w:val="24"/>
                <w:szCs w:val="24"/>
                <w:highlight w:val="none"/>
              </w:rPr>
              <w:t xml:space="preserve">Земскова В.А., Бакулева Н.И., Трубчанина Ю.А., Воронцова З.А., Земсков А.М., Бережнова Т.А.//</w:t>
            </w:r>
            <w:r>
              <w:rPr>
                <w:rFonts w:ascii="Times New Roman"/>
                <w:sz w:val="24"/>
                <w:szCs w:val="24"/>
                <w:highlight w:val="none"/>
              </w:rPr>
            </w:r>
            <w:r>
              <w:rPr>
                <w:rFonts w:ascii="Times New Roman"/>
                <w:sz w:val="24"/>
                <w:szCs w:val="24"/>
                <w:highlight w:val="none"/>
              </w:rPr>
              <w:t xml:space="preserve">Вестник новых медицинских технологий. 2023. Т. 30. № 3. С. 56-59.</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p>
            <w:pPr>
              <w:pStyle w:val="635"/>
              <w:numPr>
                <w:ilvl w:val="0"/>
                <w:numId w:val="1"/>
              </w:numPr>
              <w:jc w:val="both"/>
              <w:spacing w:after="160"/>
            </w:pPr>
            <w:r>
              <w:rPr>
                <w:rFonts w:ascii="Times New Roman"/>
                <w:sz w:val="24"/>
                <w:szCs w:val="24"/>
                <w:highlight w:val="none"/>
              </w:rPr>
              <w:t xml:space="preserve">Совершенствование учета историй болезни пациентов с мелкоклеточным раком легкого для проведения фармакоэкономического анализа/</w:t>
            </w:r>
            <w:r>
              <w:rPr>
                <w:rFonts w:ascii="Times New Roman"/>
                <w:sz w:val="24"/>
                <w:szCs w:val="24"/>
                <w:highlight w:val="none"/>
              </w:rPr>
            </w:r>
            <w:r>
              <w:rPr>
                <w:rFonts w:ascii="Times New Roman"/>
                <w:sz w:val="24"/>
                <w:szCs w:val="24"/>
                <w:highlight w:val="none"/>
              </w:rPr>
              <w:t xml:space="preserve">Бережнова Т.А., Мошуров И.П., Лунёва Е.А., Дядина К.С., Кузьменко Н.Ю.//</w:t>
            </w:r>
            <w:r>
              <w:rPr>
                <w:rFonts w:ascii="Times New Roman"/>
                <w:sz w:val="24"/>
                <w:szCs w:val="24"/>
                <w:highlight w:val="none"/>
              </w:rPr>
            </w:r>
            <w:r>
              <w:rPr>
                <w:rFonts w:ascii="Times New Roman"/>
                <w:sz w:val="24"/>
                <w:szCs w:val="24"/>
                <w:highlight w:val="none"/>
              </w:rPr>
              <w:t xml:space="preserve">Вестник новых медицинских технологий. 2023. Т. 30. № 2. С. 101-104.</w:t>
            </w:r>
            <w:r>
              <w:rPr>
                <w:rFonts w:ascii="Times New Roman"/>
                <w:sz w:val="24"/>
                <w:szCs w:val="24"/>
                <w:highlight w:val="none"/>
              </w:rPr>
            </w:r>
            <w:r>
              <w:rPr>
                <w:rFonts w:ascii="Times New Roman"/>
                <w:sz w:val="24"/>
                <w:szCs w:val="24"/>
                <w:highlight w:val="none"/>
              </w:rPr>
            </w:r>
            <w:r>
              <w:rPr>
                <w:rFonts w:ascii="Times New Roman"/>
                <w:sz w:val="24"/>
                <w:szCs w:val="24"/>
                <w:highlight w:val="none"/>
              </w:rPr>
            </w:r>
          </w:p>
        </w:tc>
      </w:tr>
      <w:tr>
        <w:trPr/>
        <w:tc>
          <w:tcPr>
            <w:gridSpan w:val="2"/>
            <w:tcW w:w="8926" w:type="dxa"/>
            <w:textDirection w:val="lrTb"/>
            <w:noWrap w:val="false"/>
          </w:tcPr>
          <w:p>
            <w:pPr>
              <w:jc w:val="both"/>
              <w:rPr>
                <w:rFonts w:ascii="Times New Roman"/>
                <w:sz w:val="24"/>
              </w:rPr>
            </w:pPr>
            <w:r>
              <w:rPr>
                <w:rFonts w:ascii="Times New Roman"/>
                <w:sz w:val="24"/>
              </w:rPr>
              <w:t xml:space="preserve">Конференции (20</w:t>
            </w:r>
            <w:r>
              <w:rPr>
                <w:rFonts w:ascii="Times New Roman"/>
                <w:sz w:val="24"/>
              </w:rPr>
              <w:t xml:space="preserve">21</w:t>
            </w:r>
            <w:r>
              <w:rPr>
                <w:rFonts w:ascii="Times New Roman"/>
                <w:sz w:val="24"/>
              </w:rPr>
              <w:t xml:space="preserve">-202</w:t>
            </w:r>
            <w:r>
              <w:rPr>
                <w:rFonts w:ascii="Times New Roman"/>
                <w:sz w:val="24"/>
              </w:rPr>
              <w:t xml:space="preserve">3</w:t>
            </w:r>
            <w:r>
              <w:rPr>
                <w:rFonts w:ascii="Times New Roman"/>
                <w:sz w:val="24"/>
              </w:rPr>
              <w:t xml:space="preserve">):</w:t>
            </w:r>
            <w:r/>
          </w:p>
          <w:p>
            <w:pPr>
              <w:pStyle w:val="635"/>
              <w:numPr>
                <w:ilvl w:val="0"/>
                <w:numId w:val="3"/>
              </w:numPr>
              <w:jc w:val="both"/>
              <w:rPr>
                <w:rFonts w:ascii="Times New Roman"/>
                <w:sz w:val="24"/>
              </w:rPr>
            </w:pPr>
            <w:r>
              <w:rPr>
                <w:rFonts w:ascii="Times New Roman"/>
                <w:sz w:val="24"/>
              </w:rPr>
            </w:r>
            <w:r>
              <w:rPr>
                <w:rFonts w:ascii="Times New Roman"/>
                <w:sz w:val="24"/>
              </w:rPr>
              <w:t xml:space="preserve"> ВСЕРОССИЙСКИЙ ФОРУМ «ФАРМАЦИЯ: НАСТОЯЩЕЕ И БУДУЩЕЕ», ПОСВЯЩЕННЫЙ 20-ЛЕТИЮ ФАРМАЦЕВТИЧЕСКОГО ФАКУЛЬТЕТА ВГМУ ИМ. Н.Н. БУРДЕНКО, онлайн Webinar, 15 апреля 2022,  (г. Воронеж, ВГМУ имени Н.Н. Бурденко)</w:t>
            </w:r>
            <w:r>
              <w:rPr>
                <w:rFonts w:ascii="Times New Roman"/>
                <w:sz w:val="24"/>
              </w:rPr>
            </w:r>
            <w:r/>
          </w:p>
          <w:p>
            <w:pPr>
              <w:pStyle w:val="635"/>
              <w:numPr>
                <w:ilvl w:val="0"/>
                <w:numId w:val="3"/>
              </w:numPr>
              <w:jc w:val="both"/>
              <w:rPr>
                <w:rFonts w:ascii="Times New Roman"/>
                <w:sz w:val="24"/>
              </w:rPr>
            </w:pPr>
            <w:r>
              <w:rPr>
                <w:rFonts w:ascii="Times New Roman"/>
                <w:sz w:val="24"/>
                <w:highlight w:val="none"/>
              </w:rPr>
            </w:r>
            <w:r>
              <w:rPr>
                <w:rFonts w:ascii="Times New Roman"/>
                <w:sz w:val="24"/>
                <w:highlight w:val="none"/>
              </w:rPr>
              <w:t xml:space="preserve">The 10th World Integrative Medicine Congress, 21 декабря 2022, Voov (Китай, г. Харбин, Харбинский медицинский университет)</w:t>
            </w:r>
            <w:r>
              <w:rPr>
                <w:rFonts w:ascii="Times New Roman"/>
                <w:sz w:val="24"/>
                <w:highlight w:val="none"/>
              </w:rPr>
            </w:r>
            <w:r>
              <w:rPr>
                <w:rFonts w:ascii="Times New Roman"/>
                <w:sz w:val="24"/>
                <w:highlight w:val="none"/>
              </w:rPr>
            </w:r>
          </w:p>
          <w:p>
            <w:pPr>
              <w:pStyle w:val="635"/>
              <w:numPr>
                <w:ilvl w:val="0"/>
                <w:numId w:val="3"/>
              </w:numPr>
              <w:jc w:val="both"/>
              <w:rPr>
                <w:rFonts w:ascii="Times New Roman"/>
                <w:sz w:val="24"/>
              </w:rPr>
            </w:pPr>
            <w:r>
              <w:rPr>
                <w:rFonts w:ascii="Times New Roman"/>
                <w:sz w:val="24"/>
                <w:highlight w:val="none"/>
              </w:rPr>
            </w:r>
            <w:r>
              <w:rPr>
                <w:rFonts w:ascii="Times New Roman"/>
                <w:sz w:val="24"/>
                <w:highlight w:val="none"/>
              </w:rPr>
              <w:t xml:space="preserve">I Всероссийская с международным участием научно-практическая конференция «Наставничество в образовании: концептуальные вопросы и лучшие педагогические практики», онлайн Webinar, 19 мая 2022(г. Воронеж, ВГМУ имени Н.Н. Бурденко)</w:t>
            </w:r>
            <w:r>
              <w:rPr>
                <w:rFonts w:ascii="Times New Roman"/>
                <w:sz w:val="24"/>
                <w:highlight w:val="none"/>
              </w:rPr>
            </w:r>
            <w:r>
              <w:rPr>
                <w:rFonts w:ascii="Times New Roman"/>
                <w:sz w:val="24"/>
                <w:highlight w:val="none"/>
              </w:rPr>
            </w:r>
          </w:p>
          <w:p>
            <w:pPr>
              <w:pStyle w:val="635"/>
              <w:numPr>
                <w:ilvl w:val="0"/>
                <w:numId w:val="3"/>
              </w:numPr>
              <w:jc w:val="both"/>
              <w:rPr>
                <w:rFonts w:ascii="Times New Roman"/>
                <w:sz w:val="24"/>
              </w:rPr>
            </w:pPr>
            <w:r>
              <w:rPr>
                <w:rFonts w:ascii="Times New Roman"/>
                <w:sz w:val="24"/>
                <w:highlight w:val="none"/>
              </w:rPr>
            </w:r>
            <w:r>
              <w:rPr>
                <w:rFonts w:ascii="Times New Roman"/>
                <w:sz w:val="24"/>
                <w:highlight w:val="none"/>
              </w:rPr>
              <w:t xml:space="preserve">X Всероссийская конференция "Глобальные векторы развития фармацевтического образования, науки в практики в условиях непредсказуемой внешней среды и цифровизации" 16 сентября 2022 (Г.Ярославль, организатор - РУДН)</w:t>
            </w:r>
            <w:r>
              <w:rPr>
                <w:rFonts w:ascii="Times New Roman"/>
                <w:sz w:val="24"/>
                <w:highlight w:val="none"/>
              </w:rPr>
            </w:r>
            <w:r>
              <w:rPr>
                <w:rFonts w:ascii="Times New Roman"/>
                <w:sz w:val="24"/>
                <w:highlight w:val="none"/>
              </w:rPr>
            </w:r>
          </w:p>
          <w:p>
            <w:pPr>
              <w:pStyle w:val="635"/>
              <w:numPr>
                <w:ilvl w:val="0"/>
                <w:numId w:val="3"/>
              </w:numPr>
              <w:jc w:val="both"/>
              <w:rPr>
                <w:rFonts w:ascii="Times New Roman"/>
                <w:sz w:val="24"/>
                <w:highlight w:val="none"/>
              </w:rPr>
            </w:pPr>
            <w:r>
              <w:rPr>
                <w:rFonts w:ascii="Times New Roman"/>
                <w:sz w:val="24"/>
                <w:highlight w:val="none"/>
              </w:rPr>
            </w:r>
            <w:r>
              <w:rPr>
                <w:rFonts w:ascii="Times New Roman"/>
                <w:sz w:val="24"/>
                <w:highlight w:val="none"/>
              </w:rPr>
              <w:t xml:space="preserve">Научно-практическая конференция: "Pharmacy: new approaches in education and prospects for innovative research" dedicated to the 20th anniversary of the Faculty of Pharmacy Voronezh N.N. Burdenko State Medical University, онлайн Voov, 11 ноября 2022 (г.Ворон</w:t>
            </w:r>
            <w:r>
              <w:rPr>
                <w:rFonts w:ascii="Times New Roman"/>
                <w:sz w:val="24"/>
                <w:highlight w:val="none"/>
              </w:rPr>
              <w:t xml:space="preserve">еж, ФГБОУ ВО ВГМУ имени Н.Н. Бурденко)</w:t>
            </w:r>
            <w:r/>
          </w:p>
          <w:p>
            <w:pPr>
              <w:pStyle w:val="635"/>
              <w:numPr>
                <w:ilvl w:val="0"/>
                <w:numId w:val="3"/>
              </w:numPr>
              <w:jc w:val="both"/>
              <w:rPr>
                <w:rFonts w:ascii="Times New Roman"/>
                <w:sz w:val="24"/>
              </w:rPr>
            </w:pPr>
            <w:r>
              <w:rPr>
                <w:rFonts w:ascii="Times New Roman"/>
                <w:sz w:val="24"/>
                <w:highlight w:val="none"/>
              </w:rPr>
            </w:r>
            <w:r>
              <w:rPr>
                <w:rFonts w:ascii="Times New Roman"/>
                <w:sz w:val="24"/>
                <w:highlight w:val="none"/>
              </w:rPr>
              <w:t xml:space="preserve">Учебно-методическая конференция с международным участием</w:t>
            </w:r>
            <w:r/>
          </w:p>
          <w:p>
            <w:pPr>
              <w:ind w:left="720" w:firstLine="0"/>
              <w:jc w:val="both"/>
              <w:rPr>
                <w:rFonts w:ascii="Times New Roman"/>
                <w:sz w:val="24"/>
                <w:highlight w:val="none"/>
              </w:rPr>
            </w:pPr>
            <w:r>
              <w:rPr>
                <w:rFonts w:ascii="Times New Roman"/>
                <w:sz w:val="24"/>
                <w:highlight w:val="none"/>
              </w:rPr>
              <w:t xml:space="preserve">«Опыт ознакомления студентов с правилами проведения доклинических исследований», онлайн, 24.03.23</w:t>
            </w:r>
            <w:r/>
          </w:p>
          <w:p>
            <w:pPr>
              <w:ind w:left="720" w:firstLine="0"/>
              <w:jc w:val="both"/>
              <w:rPr>
                <w:rFonts w:ascii="Times New Roman"/>
                <w:sz w:val="24"/>
                <w:highlight w:val="none"/>
              </w:rPr>
            </w:pPr>
            <w:r>
              <w:rPr>
                <w:rFonts w:ascii="Times New Roman"/>
                <w:sz w:val="24"/>
                <w:highlight w:val="none"/>
              </w:rPr>
              <w:t xml:space="preserve">7. </w:t>
            </w:r>
            <w:r>
              <w:rPr>
                <w:rFonts w:ascii="Times New Roman"/>
                <w:sz w:val="24"/>
                <w:highlight w:val="none"/>
              </w:rPr>
              <w:t xml:space="preserve">Всероссийская учебно-методическая конференция, </w:t>
            </w:r>
            <w:r/>
            <w:r>
              <w:rPr>
                <w:rFonts w:ascii="Times New Roman"/>
                <w:sz w:val="24"/>
                <w:highlight w:val="none"/>
              </w:rPr>
              <w:t xml:space="preserve">приуроченная к Году педагога и наставника с участием вузов </w:t>
            </w:r>
            <w:r/>
            <w:r>
              <w:rPr>
                <w:rFonts w:ascii="Times New Roman"/>
                <w:sz w:val="24"/>
                <w:highlight w:val="none"/>
              </w:rPr>
              <w:t xml:space="preserve">Восточно-Европейского кластера</w:t>
            </w:r>
            <w:r/>
            <w:r>
              <w:rPr>
                <w:rFonts w:ascii="Times New Roman"/>
                <w:sz w:val="24"/>
                <w:highlight w:val="none"/>
              </w:rPr>
              <w:t xml:space="preserve">«Педагогика в медицине и фармации: сохраняя прошлое,</w:t>
            </w:r>
            <w:r/>
          </w:p>
          <w:p>
            <w:pPr>
              <w:pStyle w:val="635"/>
              <w:jc w:val="both"/>
              <w:rPr>
                <w:rFonts w:ascii="Times New Roman"/>
                <w:sz w:val="24"/>
                <w:highlight w:val="none"/>
              </w:rPr>
            </w:pPr>
            <w:r>
              <w:rPr>
                <w:rFonts w:ascii="Times New Roman"/>
                <w:sz w:val="24"/>
                <w:highlight w:val="none"/>
              </w:rPr>
              <w:t xml:space="preserve">создаём будущее», онлайн, </w:t>
            </w:r>
            <w:r>
              <w:rPr>
                <w:rFonts w:ascii="Times New Roman"/>
                <w:sz w:val="24"/>
                <w:highlight w:val="none"/>
              </w:rPr>
              <w:t xml:space="preserve">10 апреля 2023 </w:t>
            </w:r>
            <w:r>
              <w:rPr>
                <w:rFonts w:ascii="Times New Roman"/>
                <w:sz w:val="24"/>
                <w:highlight w:val="none"/>
              </w:rPr>
            </w:r>
            <w:r>
              <w:rPr>
                <w:rFonts w:ascii="Times New Roman"/>
                <w:sz w:val="24"/>
                <w:highlight w:val="none"/>
              </w:rPr>
            </w:r>
          </w:p>
          <w:p>
            <w:pPr>
              <w:pStyle w:val="635"/>
              <w:jc w:val="both"/>
              <w:rPr>
                <w:rFonts w:ascii="Times New Roman"/>
                <w:sz w:val="24"/>
                <w:highlight w:val="none"/>
              </w:rPr>
            </w:pPr>
            <w:r>
              <w:rPr>
                <w:rFonts w:ascii="Times New Roman"/>
                <w:sz w:val="24"/>
                <w:highlight w:val="none"/>
              </w:rPr>
              <w:t xml:space="preserve">8. </w:t>
            </w:r>
            <w:r>
              <w:rPr>
                <w:rFonts w:ascii="Times New Roman"/>
                <w:sz w:val="24"/>
                <w:highlight w:val="none"/>
              </w:rPr>
              <w:t xml:space="preserve">Международная учебно-методическая конференция «Новые подходы в преподавании дисциплин специальности 33.05.01 Фармация», посвящённая Дню фармацевтического работника в России и году Педагога и наставника, 22 мая 2023 года, онлайн</w:t>
            </w:r>
            <w:r>
              <w:rPr>
                <w:rFonts w:ascii="Times New Roman"/>
                <w:sz w:val="24"/>
                <w:highlight w:val="none"/>
              </w:rPr>
            </w:r>
            <w:r>
              <w:rPr>
                <w:rFonts w:ascii="Times New Roman"/>
                <w:sz w:val="24"/>
                <w:highlight w:val="none"/>
              </w:rPr>
            </w:r>
          </w:p>
        </w:tc>
      </w:tr>
      <w:tr>
        <w:trPr/>
        <w:tc>
          <w:tcPr>
            <w:gridSpan w:val="2"/>
            <w:tcW w:w="8926" w:type="dxa"/>
            <w:textDirection w:val="lrTb"/>
            <w:noWrap w:val="false"/>
          </w:tcPr>
          <w:p>
            <w:pPr>
              <w:rPr>
                <w:rFonts w:ascii="Times New Roman"/>
                <w:sz w:val="24"/>
              </w:rPr>
            </w:pPr>
            <w:r>
              <w:rPr>
                <w:rFonts w:ascii="Times New Roman"/>
                <w:sz w:val="24"/>
              </w:rPr>
              <w:t xml:space="preserve">Гранты (иное):</w:t>
            </w:r>
            <w:r>
              <w:rPr>
                <w:rFonts w:ascii="Times New Roman"/>
                <w:sz w:val="24"/>
              </w:rPr>
              <w:t xml:space="preserve">  - </w:t>
            </w:r>
            <w:r/>
          </w:p>
          <w:p>
            <w:pPr>
              <w:rPr>
                <w:rFonts w:ascii="Times New Roman"/>
                <w:sz w:val="24"/>
              </w:rPr>
            </w:pPr>
            <w:r>
              <w:rPr>
                <w:rFonts w:ascii="Times New Roman"/>
                <w:sz w:val="24"/>
              </w:rPr>
            </w:r>
            <w:r/>
          </w:p>
        </w:tc>
      </w:tr>
    </w:tbl>
    <w:p>
      <w:pPr>
        <w:rPr>
          <w:rFonts w:ascii="Times New Roman"/>
        </w:rPr>
      </w:pPr>
      <w:r>
        <w:rPr>
          <w:rFonts w:ascii="Times New Roman"/>
        </w:rPr>
      </w:r>
      <w:r/>
    </w:p>
    <w:p>
      <w:pPr>
        <w:rPr>
          <w:rFonts w:ascii="Times New Roman"/>
        </w:rPr>
      </w:pPr>
      <w:r>
        <w:rPr>
          <w:rFonts w:ascii="Times New Roman"/>
        </w:rPr>
      </w:r>
      <w:r/>
    </w:p>
    <w:p>
      <w:pPr>
        <w:rPr>
          <w:rFonts w:ascii="Times New Roman"/>
        </w:rPr>
      </w:pPr>
      <w:r>
        <w:rPr>
          <w:rFonts w:ascii="Times New Roman"/>
        </w:rPr>
      </w:r>
      <w:r/>
    </w:p>
    <w:p>
      <w:r/>
      <w:r/>
    </w:p>
    <w:sectPr>
      <w:footnotePr/>
      <w:endnotePr/>
      <w:type w:val="nextPage"/>
      <w:pgSz w:w="11906" w:h="16838" w:orient="portrait"/>
      <w:pgMar w:top="1134" w:right="850" w:bottom="1134" w:left="1701" w:header="708" w:footer="708"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panose1 w:val="020E0502030303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lef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lef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lef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lef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lef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Times New Roman" w:cs="Times New Roman" w:eastAsia="Times New Roman" w:asciiTheme="minorHAnsi" w:hint="default"/>
        <w:color w:val="000000"/>
        <w:sz w:val="22"/>
        <w:lang w:val="ru-RU" w:bidi="ar-SA" w:eastAsia="ru-RU"/>
      </w:rPr>
    </w:rPrDefault>
    <w:pPrDefault>
      <w:pPr>
        <w:spacing w:before="0" w:beforeAutospacing="0" w:after="160" w:afterAutospacing="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1"/>
    <w:link w:val="606"/>
    <w:uiPriority w:val="9"/>
    <w:rPr>
      <w:rFonts w:ascii="Arial" w:hAnsi="Arial" w:cs="Arial" w:eastAsia="Arial"/>
      <w:sz w:val="40"/>
      <w:szCs w:val="40"/>
    </w:rPr>
  </w:style>
  <w:style w:type="character" w:styleId="14">
    <w:name w:val="Heading 2 Char"/>
    <w:basedOn w:val="611"/>
    <w:link w:val="607"/>
    <w:uiPriority w:val="9"/>
    <w:rPr>
      <w:rFonts w:ascii="Arial" w:hAnsi="Arial" w:cs="Arial" w:eastAsia="Arial"/>
      <w:sz w:val="34"/>
    </w:rPr>
  </w:style>
  <w:style w:type="character" w:styleId="16">
    <w:name w:val="Heading 3 Char"/>
    <w:basedOn w:val="611"/>
    <w:link w:val="608"/>
    <w:uiPriority w:val="9"/>
    <w:rPr>
      <w:rFonts w:ascii="Arial" w:hAnsi="Arial" w:cs="Arial" w:eastAsia="Arial"/>
      <w:sz w:val="30"/>
      <w:szCs w:val="30"/>
    </w:rPr>
  </w:style>
  <w:style w:type="character" w:styleId="18">
    <w:name w:val="Heading 4 Char"/>
    <w:basedOn w:val="611"/>
    <w:link w:val="609"/>
    <w:uiPriority w:val="9"/>
    <w:rPr>
      <w:rFonts w:ascii="Arial" w:hAnsi="Arial" w:cs="Arial" w:eastAsia="Arial"/>
      <w:b/>
      <w:bCs/>
      <w:sz w:val="26"/>
      <w:szCs w:val="26"/>
    </w:rPr>
  </w:style>
  <w:style w:type="character" w:styleId="20">
    <w:name w:val="Heading 5 Char"/>
    <w:basedOn w:val="611"/>
    <w:link w:val="610"/>
    <w:uiPriority w:val="9"/>
    <w:rPr>
      <w:rFonts w:ascii="Arial" w:hAnsi="Arial" w:cs="Arial" w:eastAsia="Arial"/>
      <w:b/>
      <w:bCs/>
      <w:sz w:val="24"/>
      <w:szCs w:val="24"/>
    </w:rPr>
  </w:style>
  <w:style w:type="paragraph" w:styleId="21">
    <w:name w:val="Heading 6"/>
    <w:basedOn w:val="605"/>
    <w:next w:val="605"/>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11"/>
    <w:link w:val="21"/>
    <w:uiPriority w:val="9"/>
    <w:rPr>
      <w:rFonts w:ascii="Arial" w:hAnsi="Arial" w:cs="Arial" w:eastAsia="Arial"/>
      <w:b/>
      <w:bCs/>
      <w:sz w:val="22"/>
      <w:szCs w:val="22"/>
    </w:rPr>
  </w:style>
  <w:style w:type="paragraph" w:styleId="23">
    <w:name w:val="Heading 7"/>
    <w:basedOn w:val="605"/>
    <w:next w:val="605"/>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11"/>
    <w:link w:val="23"/>
    <w:uiPriority w:val="9"/>
    <w:rPr>
      <w:rFonts w:ascii="Arial" w:hAnsi="Arial" w:cs="Arial" w:eastAsia="Arial"/>
      <w:b/>
      <w:bCs/>
      <w:i/>
      <w:iCs/>
      <w:sz w:val="22"/>
      <w:szCs w:val="22"/>
    </w:rPr>
  </w:style>
  <w:style w:type="paragraph" w:styleId="25">
    <w:name w:val="Heading 8"/>
    <w:basedOn w:val="605"/>
    <w:next w:val="605"/>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11"/>
    <w:link w:val="25"/>
    <w:uiPriority w:val="9"/>
    <w:rPr>
      <w:rFonts w:ascii="Arial" w:hAnsi="Arial" w:cs="Arial" w:eastAsia="Arial"/>
      <w:i/>
      <w:iCs/>
      <w:sz w:val="22"/>
      <w:szCs w:val="22"/>
    </w:rPr>
  </w:style>
  <w:style w:type="paragraph" w:styleId="27">
    <w:name w:val="Heading 9"/>
    <w:basedOn w:val="605"/>
    <w:next w:val="605"/>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11"/>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character" w:styleId="33">
    <w:name w:val="Title Char"/>
    <w:basedOn w:val="611"/>
    <w:link w:val="649"/>
    <w:uiPriority w:val="10"/>
    <w:rPr>
      <w:sz w:val="48"/>
      <w:szCs w:val="48"/>
    </w:rPr>
  </w:style>
  <w:style w:type="character" w:styleId="35">
    <w:name w:val="Subtitle Char"/>
    <w:basedOn w:val="611"/>
    <w:link w:val="645"/>
    <w:uiPriority w:val="11"/>
    <w:rPr>
      <w:sz w:val="24"/>
      <w:szCs w:val="24"/>
    </w:rPr>
  </w:style>
  <w:style w:type="paragraph" w:styleId="36">
    <w:name w:val="Quote"/>
    <w:basedOn w:val="605"/>
    <w:next w:val="605"/>
    <w:link w:val="37"/>
    <w:uiPriority w:val="29"/>
    <w:qFormat/>
    <w:pPr>
      <w:ind w:left="720" w:right="720"/>
    </w:pPr>
    <w:rPr>
      <w:i/>
    </w:rPr>
  </w:style>
  <w:style w:type="character" w:styleId="37">
    <w:name w:val="Quote Char"/>
    <w:link w:val="36"/>
    <w:uiPriority w:val="29"/>
    <w:rPr>
      <w:i/>
    </w:rPr>
  </w:style>
  <w:style w:type="paragraph" w:styleId="38">
    <w:name w:val="Intense Quote"/>
    <w:basedOn w:val="605"/>
    <w:next w:val="605"/>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05"/>
    <w:link w:val="41"/>
    <w:uiPriority w:val="99"/>
    <w:unhideWhenUsed/>
    <w:pPr>
      <w:spacing w:after="0" w:line="240" w:lineRule="auto"/>
      <w:tabs>
        <w:tab w:val="center" w:pos="7143" w:leader="none"/>
        <w:tab w:val="right" w:pos="14287" w:leader="none"/>
      </w:tabs>
    </w:pPr>
  </w:style>
  <w:style w:type="character" w:styleId="41">
    <w:name w:val="Header Char"/>
    <w:basedOn w:val="611"/>
    <w:link w:val="40"/>
    <w:uiPriority w:val="99"/>
  </w:style>
  <w:style w:type="paragraph" w:styleId="42">
    <w:name w:val="Footer"/>
    <w:basedOn w:val="605"/>
    <w:link w:val="45"/>
    <w:uiPriority w:val="99"/>
    <w:unhideWhenUsed/>
    <w:pPr>
      <w:spacing w:after="0" w:line="240" w:lineRule="auto"/>
      <w:tabs>
        <w:tab w:val="center" w:pos="7143" w:leader="none"/>
        <w:tab w:val="right" w:pos="14287" w:leader="none"/>
      </w:tabs>
    </w:pPr>
  </w:style>
  <w:style w:type="character" w:styleId="43">
    <w:name w:val="Footer Char"/>
    <w:basedOn w:val="611"/>
    <w:link w:val="42"/>
    <w:uiPriority w:val="99"/>
  </w:style>
  <w:style w:type="paragraph" w:styleId="44">
    <w:name w:val="Caption"/>
    <w:basedOn w:val="605"/>
    <w:next w:val="605"/>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7">
    <w:name w:val="Table Grid Light"/>
    <w:basedOn w:val="6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1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1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1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1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1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1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1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1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1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1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1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1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1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1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1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1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1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1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1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1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1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1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1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1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1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1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1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1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1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1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1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1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1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1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1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1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1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1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1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1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1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1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1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1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1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1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1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1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1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1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1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1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1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1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1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1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1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1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1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1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1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1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1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1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1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1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1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1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1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1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1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1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1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1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1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1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1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05"/>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11"/>
    <w:uiPriority w:val="99"/>
    <w:unhideWhenUsed/>
    <w:rPr>
      <w:vertAlign w:val="superscript"/>
    </w:rPr>
  </w:style>
  <w:style w:type="paragraph" w:styleId="176">
    <w:name w:val="endnote text"/>
    <w:basedOn w:val="605"/>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11"/>
    <w:uiPriority w:val="99"/>
    <w:semiHidden/>
    <w:unhideWhenUsed/>
    <w:rPr>
      <w:vertAlign w:val="superscript"/>
    </w:rPr>
  </w:style>
  <w:style w:type="paragraph" w:styleId="188">
    <w:name w:val="TOC Heading"/>
    <w:uiPriority w:val="39"/>
    <w:unhideWhenUsed/>
  </w:style>
  <w:style w:type="paragraph" w:styleId="189">
    <w:name w:val="table of figures"/>
    <w:basedOn w:val="605"/>
    <w:next w:val="605"/>
    <w:uiPriority w:val="99"/>
    <w:unhideWhenUsed/>
    <w:pPr>
      <w:spacing w:after="0" w:afterAutospacing="0"/>
    </w:pPr>
  </w:style>
  <w:style w:type="paragraph" w:styleId="605" w:default="1">
    <w:name w:val="Normal"/>
    <w:link w:val="614"/>
    <w:qFormat/>
  </w:style>
  <w:style w:type="paragraph" w:styleId="606">
    <w:name w:val="Heading 1"/>
    <w:link w:val="628"/>
    <w:uiPriority w:val="9"/>
    <w:qFormat/>
    <w:pPr>
      <w:spacing w:before="120" w:after="120"/>
      <w:outlineLvl w:val="0"/>
    </w:pPr>
    <w:rPr>
      <w:rFonts w:ascii="XO Thames" w:hAnsi="XO Thames"/>
      <w:b/>
      <w:sz w:val="32"/>
    </w:rPr>
  </w:style>
  <w:style w:type="paragraph" w:styleId="607">
    <w:name w:val="Heading 2"/>
    <w:link w:val="652"/>
    <w:uiPriority w:val="9"/>
    <w:qFormat/>
    <w:pPr>
      <w:spacing w:before="120" w:after="120"/>
      <w:outlineLvl w:val="1"/>
    </w:pPr>
    <w:rPr>
      <w:rFonts w:ascii="XO Thames" w:hAnsi="XO Thames"/>
      <w:b/>
      <w:color w:val="00A0FF"/>
      <w:sz w:val="26"/>
    </w:rPr>
  </w:style>
  <w:style w:type="paragraph" w:styleId="608">
    <w:name w:val="Heading 3"/>
    <w:link w:val="623"/>
    <w:uiPriority w:val="9"/>
    <w:qFormat/>
    <w:pPr>
      <w:outlineLvl w:val="2"/>
    </w:pPr>
    <w:rPr>
      <w:rFonts w:ascii="XO Thames" w:hAnsi="XO Thames"/>
      <w:b/>
      <w:i/>
    </w:rPr>
  </w:style>
  <w:style w:type="paragraph" w:styleId="609">
    <w:name w:val="Heading 4"/>
    <w:link w:val="651"/>
    <w:uiPriority w:val="9"/>
    <w:qFormat/>
    <w:pPr>
      <w:spacing w:before="120" w:after="120"/>
      <w:outlineLvl w:val="3"/>
    </w:pPr>
    <w:rPr>
      <w:rFonts w:ascii="XO Thames" w:hAnsi="XO Thames"/>
      <w:b/>
      <w:color w:val="595959"/>
      <w:sz w:val="26"/>
    </w:rPr>
  </w:style>
  <w:style w:type="paragraph" w:styleId="610">
    <w:name w:val="Heading 5"/>
    <w:link w:val="627"/>
    <w:uiPriority w:val="9"/>
    <w:qFormat/>
    <w:pPr>
      <w:spacing w:before="120" w:after="120"/>
      <w:outlineLvl w:val="4"/>
    </w:pPr>
    <w:rPr>
      <w:rFonts w:ascii="XO Thames" w:hAnsi="XO Thames"/>
      <w:b/>
    </w:rPr>
  </w:style>
  <w:style w:type="character" w:styleId="611" w:default="1">
    <w:name w:val="Default Paragraph Font"/>
    <w:uiPriority w:val="1"/>
    <w:semiHidden/>
    <w:unhideWhenUsed/>
  </w:style>
  <w:style w:type="table" w:styleId="612" w:default="1">
    <w:name w:val="Normal Table"/>
    <w:uiPriority w:val="99"/>
    <w:semiHidden/>
    <w:unhideWhenUsed/>
    <w:tblPr>
      <w:tblInd w:w="0" w:type="dxa"/>
      <w:tblCellMar>
        <w:left w:w="108" w:type="dxa"/>
        <w:top w:w="0" w:type="dxa"/>
        <w:right w:w="108" w:type="dxa"/>
        <w:bottom w:w="0" w:type="dxa"/>
      </w:tblCellMar>
    </w:tblPr>
  </w:style>
  <w:style w:type="numbering" w:styleId="613" w:default="1">
    <w:name w:val="No List"/>
    <w:uiPriority w:val="99"/>
    <w:semiHidden/>
    <w:unhideWhenUsed/>
  </w:style>
  <w:style w:type="character" w:styleId="614" w:customStyle="1">
    <w:name w:val="Обычный1"/>
  </w:style>
  <w:style w:type="paragraph" w:styleId="615">
    <w:name w:val="toc 2"/>
    <w:link w:val="616"/>
    <w:uiPriority w:val="39"/>
    <w:pPr>
      <w:ind w:left="200"/>
    </w:pPr>
  </w:style>
  <w:style w:type="character" w:styleId="616" w:customStyle="1">
    <w:name w:val="Оглавление 2 Знак"/>
    <w:link w:val="615"/>
  </w:style>
  <w:style w:type="paragraph" w:styleId="617">
    <w:name w:val="toc 4"/>
    <w:link w:val="618"/>
    <w:uiPriority w:val="39"/>
    <w:pPr>
      <w:ind w:left="600"/>
    </w:pPr>
  </w:style>
  <w:style w:type="character" w:styleId="618" w:customStyle="1">
    <w:name w:val="Оглавление 4 Знак"/>
    <w:link w:val="617"/>
  </w:style>
  <w:style w:type="paragraph" w:styleId="619">
    <w:name w:val="toc 6"/>
    <w:link w:val="620"/>
    <w:uiPriority w:val="39"/>
    <w:pPr>
      <w:ind w:left="1000"/>
    </w:pPr>
  </w:style>
  <w:style w:type="character" w:styleId="620" w:customStyle="1">
    <w:name w:val="Оглавление 6 Знак"/>
    <w:link w:val="619"/>
  </w:style>
  <w:style w:type="paragraph" w:styleId="621">
    <w:name w:val="toc 7"/>
    <w:link w:val="622"/>
    <w:uiPriority w:val="39"/>
    <w:pPr>
      <w:ind w:left="1200"/>
    </w:pPr>
  </w:style>
  <w:style w:type="character" w:styleId="622" w:customStyle="1">
    <w:name w:val="Оглавление 7 Знак"/>
    <w:link w:val="621"/>
  </w:style>
  <w:style w:type="character" w:styleId="623" w:customStyle="1">
    <w:name w:val="Заголовок 3 Знак"/>
    <w:link w:val="608"/>
    <w:rPr>
      <w:rFonts w:ascii="XO Thames" w:hAnsi="XO Thames"/>
      <w:b/>
      <w:i/>
      <w:color w:val="000000"/>
    </w:rPr>
  </w:style>
  <w:style w:type="paragraph" w:styleId="624" w:customStyle="1">
    <w:name w:val="Основной шрифт абзаца1"/>
  </w:style>
  <w:style w:type="paragraph" w:styleId="625">
    <w:name w:val="toc 3"/>
    <w:link w:val="626"/>
    <w:uiPriority w:val="39"/>
    <w:pPr>
      <w:ind w:left="400"/>
    </w:pPr>
  </w:style>
  <w:style w:type="character" w:styleId="626" w:customStyle="1">
    <w:name w:val="Оглавление 3 Знак"/>
    <w:link w:val="625"/>
  </w:style>
  <w:style w:type="character" w:styleId="627" w:customStyle="1">
    <w:name w:val="Заголовок 5 Знак"/>
    <w:link w:val="610"/>
    <w:rPr>
      <w:rFonts w:ascii="XO Thames" w:hAnsi="XO Thames"/>
      <w:b/>
      <w:color w:val="000000"/>
      <w:sz w:val="22"/>
    </w:rPr>
  </w:style>
  <w:style w:type="character" w:styleId="628" w:customStyle="1">
    <w:name w:val="Заголовок 1 Знак"/>
    <w:link w:val="606"/>
    <w:rPr>
      <w:rFonts w:ascii="XO Thames" w:hAnsi="XO Thames"/>
      <w:b/>
      <w:sz w:val="32"/>
    </w:rPr>
  </w:style>
  <w:style w:type="paragraph" w:styleId="629" w:customStyle="1">
    <w:name w:val="Гиперссылка1"/>
    <w:basedOn w:val="624"/>
    <w:link w:val="630"/>
    <w:rPr>
      <w:color w:val="0563C1" w:themeColor="hyperlink"/>
      <w:u w:val="single"/>
    </w:rPr>
  </w:style>
  <w:style w:type="character" w:styleId="630">
    <w:name w:val="Hyperlink"/>
    <w:basedOn w:val="611"/>
    <w:link w:val="629"/>
    <w:rPr>
      <w:color w:val="0563C1" w:themeColor="hyperlink"/>
      <w:u w:val="single"/>
    </w:rPr>
  </w:style>
  <w:style w:type="paragraph" w:styleId="631" w:customStyle="1">
    <w:name w:val="Footnote"/>
    <w:link w:val="632"/>
    <w:rPr>
      <w:rFonts w:ascii="XO Thames" w:hAnsi="XO Thames"/>
      <w:color w:val="757575"/>
      <w:sz w:val="20"/>
    </w:rPr>
  </w:style>
  <w:style w:type="character" w:styleId="632" w:customStyle="1">
    <w:name w:val="Footnote"/>
    <w:link w:val="631"/>
    <w:rPr>
      <w:rFonts w:ascii="XO Thames" w:hAnsi="XO Thames"/>
      <w:color w:val="757575"/>
      <w:sz w:val="20"/>
    </w:rPr>
  </w:style>
  <w:style w:type="paragraph" w:styleId="633">
    <w:name w:val="toc 1"/>
    <w:link w:val="634"/>
    <w:uiPriority w:val="39"/>
    <w:rPr>
      <w:rFonts w:ascii="XO Thames" w:hAnsi="XO Thames"/>
      <w:b/>
    </w:rPr>
  </w:style>
  <w:style w:type="character" w:styleId="634" w:customStyle="1">
    <w:name w:val="Оглавление 1 Знак"/>
    <w:link w:val="633"/>
    <w:rPr>
      <w:rFonts w:ascii="XO Thames" w:hAnsi="XO Thames"/>
      <w:b/>
    </w:rPr>
  </w:style>
  <w:style w:type="paragraph" w:styleId="635">
    <w:name w:val="List Paragraph"/>
    <w:basedOn w:val="605"/>
    <w:link w:val="636"/>
    <w:uiPriority w:val="34"/>
    <w:qFormat/>
    <w:pPr>
      <w:contextualSpacing/>
      <w:ind w:left="720"/>
    </w:pPr>
  </w:style>
  <w:style w:type="character" w:styleId="636" w:customStyle="1">
    <w:name w:val="Абзац списка Знак"/>
    <w:basedOn w:val="614"/>
    <w:link w:val="635"/>
  </w:style>
  <w:style w:type="paragraph" w:styleId="637" w:customStyle="1">
    <w:name w:val="Header and Footer"/>
    <w:link w:val="638"/>
    <w:pPr>
      <w:spacing w:line="360" w:lineRule="auto"/>
    </w:pPr>
    <w:rPr>
      <w:rFonts w:ascii="XO Thames" w:hAnsi="XO Thames"/>
      <w:sz w:val="20"/>
    </w:rPr>
  </w:style>
  <w:style w:type="character" w:styleId="638" w:customStyle="1">
    <w:name w:val="Header and Footer"/>
    <w:link w:val="637"/>
    <w:rPr>
      <w:rFonts w:ascii="XO Thames" w:hAnsi="XO Thames"/>
      <w:sz w:val="20"/>
    </w:rPr>
  </w:style>
  <w:style w:type="paragraph" w:styleId="639">
    <w:name w:val="toc 9"/>
    <w:link w:val="640"/>
    <w:uiPriority w:val="39"/>
    <w:pPr>
      <w:ind w:left="1600"/>
    </w:pPr>
  </w:style>
  <w:style w:type="character" w:styleId="640" w:customStyle="1">
    <w:name w:val="Оглавление 9 Знак"/>
    <w:link w:val="639"/>
  </w:style>
  <w:style w:type="paragraph" w:styleId="641">
    <w:name w:val="toc 8"/>
    <w:link w:val="642"/>
    <w:uiPriority w:val="39"/>
    <w:pPr>
      <w:ind w:left="1400"/>
    </w:pPr>
  </w:style>
  <w:style w:type="character" w:styleId="642" w:customStyle="1">
    <w:name w:val="Оглавление 8 Знак"/>
    <w:link w:val="641"/>
  </w:style>
  <w:style w:type="paragraph" w:styleId="643">
    <w:name w:val="toc 5"/>
    <w:link w:val="644"/>
    <w:uiPriority w:val="39"/>
    <w:pPr>
      <w:ind w:left="800"/>
    </w:pPr>
  </w:style>
  <w:style w:type="character" w:styleId="644" w:customStyle="1">
    <w:name w:val="Оглавление 5 Знак"/>
    <w:link w:val="643"/>
  </w:style>
  <w:style w:type="paragraph" w:styleId="645">
    <w:name w:val="Subtitle"/>
    <w:link w:val="646"/>
    <w:uiPriority w:val="11"/>
    <w:qFormat/>
    <w:rPr>
      <w:rFonts w:ascii="XO Thames" w:hAnsi="XO Thames"/>
      <w:i/>
      <w:color w:val="616161"/>
      <w:sz w:val="24"/>
    </w:rPr>
  </w:style>
  <w:style w:type="character" w:styleId="646" w:customStyle="1">
    <w:name w:val="Подзаголовок Знак"/>
    <w:link w:val="645"/>
    <w:rPr>
      <w:rFonts w:ascii="XO Thames" w:hAnsi="XO Thames"/>
      <w:i/>
      <w:color w:val="616161"/>
      <w:sz w:val="24"/>
    </w:rPr>
  </w:style>
  <w:style w:type="paragraph" w:styleId="647" w:customStyle="1">
    <w:name w:val="toc 10"/>
    <w:link w:val="648"/>
    <w:uiPriority w:val="39"/>
    <w:pPr>
      <w:ind w:left="1800"/>
    </w:pPr>
  </w:style>
  <w:style w:type="character" w:styleId="648" w:customStyle="1">
    <w:name w:val="toc 10"/>
    <w:link w:val="647"/>
  </w:style>
  <w:style w:type="paragraph" w:styleId="649">
    <w:name w:val="Title"/>
    <w:link w:val="650"/>
    <w:uiPriority w:val="10"/>
    <w:qFormat/>
    <w:rPr>
      <w:rFonts w:ascii="XO Thames" w:hAnsi="XO Thames"/>
      <w:b/>
      <w:sz w:val="52"/>
    </w:rPr>
  </w:style>
  <w:style w:type="character" w:styleId="650" w:customStyle="1">
    <w:name w:val="Заголовок Знак"/>
    <w:link w:val="649"/>
    <w:rPr>
      <w:rFonts w:ascii="XO Thames" w:hAnsi="XO Thames"/>
      <w:b/>
      <w:sz w:val="52"/>
    </w:rPr>
  </w:style>
  <w:style w:type="character" w:styleId="651" w:customStyle="1">
    <w:name w:val="Заголовок 4 Знак"/>
    <w:link w:val="609"/>
    <w:rPr>
      <w:rFonts w:ascii="XO Thames" w:hAnsi="XO Thames"/>
      <w:b/>
      <w:color w:val="595959"/>
      <w:sz w:val="26"/>
    </w:rPr>
  </w:style>
  <w:style w:type="character" w:styleId="652" w:customStyle="1">
    <w:name w:val="Заголовок 2 Знак"/>
    <w:link w:val="607"/>
    <w:rPr>
      <w:rFonts w:ascii="XO Thames" w:hAnsi="XO Thames"/>
      <w:b/>
      <w:color w:val="00A0FF"/>
      <w:sz w:val="26"/>
    </w:rPr>
  </w:style>
  <w:style w:type="table" w:styleId="653">
    <w:name w:val="Table Grid"/>
    <w:basedOn w:val="612"/>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Р7-Офис/7.0.1.62</Application>
  <Company>OEM</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revision>9</cp:revision>
  <dcterms:created xsi:type="dcterms:W3CDTF">2022-02-03T08:14:00Z</dcterms:created>
  <dcterms:modified xsi:type="dcterms:W3CDTF">2023-10-20T10:39:07Z</dcterms:modified>
</cp:coreProperties>
</file>