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081"/>
        <w:gridCol w:w="4274"/>
      </w:tblGrid>
      <w:tr w:rsidR="00512F60" w14:paraId="0D927D0B" w14:textId="77777777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9468" w14:textId="77777777" w:rsidR="00512F60" w:rsidRDefault="00512F60">
            <w:pPr>
              <w:jc w:val="center"/>
              <w:rPr>
                <w:b/>
              </w:rPr>
            </w:pP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CA7A" w14:textId="77777777" w:rsidR="00512F60" w:rsidRDefault="00512F60" w:rsidP="00885744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</w:p>
        </w:tc>
      </w:tr>
    </w:tbl>
    <w:p w14:paraId="47D3D6DA" w14:textId="77777777" w:rsidR="00512F60" w:rsidRDefault="00512F60">
      <w:pPr>
        <w:jc w:val="center"/>
        <w:rPr>
          <w:b/>
        </w:rPr>
      </w:pPr>
    </w:p>
    <w:p w14:paraId="42B65D45" w14:textId="77777777" w:rsidR="006E1994" w:rsidRDefault="006E1994" w:rsidP="006E1994">
      <w:r>
        <w:t>В</w:t>
      </w:r>
      <w:r w:rsidRPr="009B1746">
        <w:t>ОПРОС</w:t>
      </w:r>
      <w:r>
        <w:t xml:space="preserve">Ы ДЛЯ ПОДГОТОВКИ К МЕЖДИСЦИПЛИНАРНОИМУ ТЕСТУ </w:t>
      </w:r>
      <w:r w:rsidRPr="009B1746">
        <w:t xml:space="preserve">ПО ДИСЦИПЛИНЕ </w:t>
      </w:r>
      <w:r>
        <w:t xml:space="preserve">«ПОЛИКЛИНИЧЕСКАЯ ТЕРАПИЯ» </w:t>
      </w:r>
    </w:p>
    <w:p w14:paraId="65F996D9" w14:textId="77777777" w:rsidR="00512F60" w:rsidRDefault="00885744">
      <w:pPr>
        <w:widowControl w:val="0"/>
        <w:numPr>
          <w:ilvl w:val="0"/>
          <w:numId w:val="1"/>
        </w:numPr>
        <w:jc w:val="both"/>
        <w:rPr>
          <w:spacing w:val="-27"/>
        </w:rPr>
      </w:pPr>
      <w:r>
        <w:rPr>
          <w:spacing w:val="-3"/>
        </w:rPr>
        <w:t>Права и обязанности участкового врача, нормы приема.</w:t>
      </w:r>
      <w:r>
        <w:rPr>
          <w:spacing w:val="-27"/>
        </w:rPr>
        <w:t xml:space="preserve"> </w:t>
      </w:r>
      <w:r>
        <w:rPr>
          <w:spacing w:val="-2"/>
        </w:rPr>
        <w:t>Документация, заполняемая врачом в поликлинике</w:t>
      </w:r>
      <w:r>
        <w:rPr>
          <w:spacing w:val="-27"/>
        </w:rPr>
        <w:t xml:space="preserve">. </w:t>
      </w:r>
      <w:r>
        <w:rPr>
          <w:spacing w:val="-2"/>
        </w:rPr>
        <w:t>Правила выписывания рецептов, п</w:t>
      </w:r>
      <w:r>
        <w:rPr>
          <w:spacing w:val="-3"/>
        </w:rPr>
        <w:t xml:space="preserve">равила заполнения статистического талона. </w:t>
      </w:r>
      <w:r>
        <w:rPr>
          <w:spacing w:val="-1"/>
        </w:rPr>
        <w:t>Дневной стационар, показания и порядок направления. Стационар на дому.</w:t>
      </w:r>
      <w:r>
        <w:rPr>
          <w:spacing w:val="-12"/>
        </w:rPr>
        <w:t xml:space="preserve"> </w:t>
      </w:r>
    </w:p>
    <w:p w14:paraId="331CF194" w14:textId="77777777" w:rsidR="00512F60" w:rsidRDefault="00885744">
      <w:pPr>
        <w:widowControl w:val="0"/>
        <w:numPr>
          <w:ilvl w:val="0"/>
          <w:numId w:val="1"/>
        </w:numPr>
        <w:tabs>
          <w:tab w:val="left" w:pos="1349"/>
        </w:tabs>
        <w:jc w:val="both"/>
      </w:pPr>
      <w:r>
        <w:t>Диспансеризация взрослого населения: определение, цели диспансеризации, этапы проведения. Объем медицинских мероприятий, проводимых в рамках каждого этапа диспансеризации. Основные задачи врача-терапевта при проведении диспансеризации. Группы состояния здоровья, определяемые по результатам диспансеризации. Медицинская документация врача-терапевта для учета диспансеризации. Критерии оценки эффективности диспансеризации.</w:t>
      </w:r>
    </w:p>
    <w:p w14:paraId="786C8012" w14:textId="77777777" w:rsidR="00512F60" w:rsidRDefault="00885744">
      <w:pPr>
        <w:widowControl w:val="0"/>
        <w:numPr>
          <w:ilvl w:val="0"/>
          <w:numId w:val="1"/>
        </w:numPr>
        <w:tabs>
          <w:tab w:val="left" w:pos="1349"/>
        </w:tabs>
        <w:jc w:val="both"/>
        <w:rPr>
          <w:spacing w:val="-15"/>
        </w:rPr>
      </w:pPr>
      <w:r>
        <w:rPr>
          <w:spacing w:val="-2"/>
        </w:rPr>
        <w:t>Диспансерное наблюдение больных хроническими неинфекционными заболеваниями и пациентов с высоким риском их развития. Цель, задачи, контингенты, подлежащие диспансерному наблюдению. Ориентировочный объем диспансерного наблюдения на уровне терапевтического участка. Критерии оценки эффективности. Медицинская документация врача-терапевта для учета диспансерного наблюдения.</w:t>
      </w:r>
      <w:r>
        <w:rPr>
          <w:spacing w:val="-14"/>
        </w:rPr>
        <w:t xml:space="preserve"> </w:t>
      </w:r>
    </w:p>
    <w:p w14:paraId="757A336A" w14:textId="77777777" w:rsidR="00512F60" w:rsidRDefault="00885744">
      <w:pPr>
        <w:widowControl w:val="0"/>
        <w:numPr>
          <w:ilvl w:val="0"/>
          <w:numId w:val="1"/>
        </w:numPr>
        <w:tabs>
          <w:tab w:val="left" w:pos="1349"/>
        </w:tabs>
        <w:jc w:val="both"/>
      </w:pPr>
      <w:r>
        <w:t>Диспансерное наблюдение больных артериальной гипертонией с контролируемым артериальным давлением на фоне приема гипотензивных лекарственных препаратов: регулярность и содержание профилактических посещений в зависимости от клинического течения заболевания.</w:t>
      </w:r>
    </w:p>
    <w:p w14:paraId="6C135387" w14:textId="77777777" w:rsidR="00512F60" w:rsidRDefault="00885744">
      <w:pPr>
        <w:widowControl w:val="0"/>
        <w:numPr>
          <w:ilvl w:val="0"/>
          <w:numId w:val="1"/>
        </w:numPr>
        <w:tabs>
          <w:tab w:val="left" w:pos="1349"/>
        </w:tabs>
        <w:jc w:val="both"/>
      </w:pPr>
      <w:r>
        <w:t>Диспансерное наблюдение пациентов с хроническими болезнями органов дыхания и после перенесенных острых заболеваний легких: частота наблюдений, консультаций терапевта и узких специалистов, перечень диагностических исследований в зависимости от нозологической формы.</w:t>
      </w:r>
    </w:p>
    <w:p w14:paraId="3C786325" w14:textId="77777777" w:rsidR="00512F60" w:rsidRDefault="00885744">
      <w:pPr>
        <w:widowControl w:val="0"/>
        <w:numPr>
          <w:ilvl w:val="0"/>
          <w:numId w:val="1"/>
        </w:numPr>
        <w:tabs>
          <w:tab w:val="left" w:pos="1349"/>
        </w:tabs>
        <w:jc w:val="both"/>
      </w:pPr>
      <w:r>
        <w:rPr>
          <w:spacing w:val="-2"/>
        </w:rPr>
        <w:t>Экспертиза временной нетрудоспособности: документы, регламентирующие проведение экспертизы; с</w:t>
      </w:r>
      <w:r>
        <w:rPr>
          <w:spacing w:val="-3"/>
        </w:rPr>
        <w:t>остав и функции врачебной комиссии.</w:t>
      </w:r>
      <w:r>
        <w:rPr>
          <w:spacing w:val="-12"/>
        </w:rPr>
        <w:t xml:space="preserve"> П</w:t>
      </w:r>
      <w:r>
        <w:rPr>
          <w:spacing w:val="-2"/>
        </w:rPr>
        <w:t>орядок выдачи листка нетрудоспособности, правила оформления при заболеваниях и травмах, на период санаторно-курортного лечения, по уходу за больным членом семьи, по беременности и родам.  Справка о временной нетрудоспособности.</w:t>
      </w:r>
    </w:p>
    <w:p w14:paraId="71805B14" w14:textId="77777777" w:rsidR="00512F60" w:rsidRDefault="00885744">
      <w:pPr>
        <w:numPr>
          <w:ilvl w:val="0"/>
          <w:numId w:val="1"/>
        </w:numPr>
        <w:jc w:val="both"/>
      </w:pPr>
      <w:r>
        <w:rPr>
          <w:spacing w:val="-5"/>
        </w:rPr>
        <w:t>Определение понятия «инвалид», «инвалидность»</w:t>
      </w:r>
      <w:r>
        <w:rPr>
          <w:spacing w:val="1"/>
        </w:rPr>
        <w:t xml:space="preserve">, «нарушение здоровья». </w:t>
      </w:r>
      <w:r>
        <w:t>Классификация ограничений жизнедеятельности и основных функций организма по степени выраженности. Критерии инвалидности I, II, III группы. Организация экспертизы стойкой утраты трудоспособности. Задачи и функции МСЭ. Порядок направления граждан на МСЭ.</w:t>
      </w:r>
      <w:r>
        <w:rPr>
          <w:spacing w:val="-1"/>
        </w:rPr>
        <w:t xml:space="preserve"> </w:t>
      </w:r>
    </w:p>
    <w:p w14:paraId="643309E5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Гипертоническая болезнь в амбулаторной практике: определение, классификация уровней артериального давления. Стратификация общего сердечно-сосудистого риска. Шкала SCORE. Формулировка диагноза артериальной гипертензии. Методы обследования больных гипертонической болезнью в амбулаторных условиях для выявления бессимптомного поражения органов-мишеней и ассоциированных клинических состояний. Экспертиза трудоспособности.</w:t>
      </w:r>
    </w:p>
    <w:p w14:paraId="150F8B4F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Общие принципы ведения больных гипертонической болезнью на амбулаторно-</w:t>
      </w:r>
      <w:r>
        <w:lastRenderedPageBreak/>
        <w:t xml:space="preserve">поликлиническом этапе: мероприятия по изменению образа жизни, медикаментозные методы лечения. Тактика выбора стартовой терапии для достижения целевого уровня артериального давления. Фармакологическая характеристика основных групп антигипертензивных препаратов. Принципы комбинированной антигипертензивной фармакотерапии. </w:t>
      </w:r>
    </w:p>
    <w:p w14:paraId="10600582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Особенности лечения артериальной гипертензии в амбулаторных условиях у пациентов с сопутствующей патологией: у больных с поражением почек, с метаболическим синдромом, ожирением, сахарным диабетом, с ЦВБ, ИБС, ХСН, с гипертрофией миокарда левого желудочка, с бессимптомным атеросклерозом, у лиц с поражением периферических артерий, гиперурикемией, СОАС. Принципы лечения рефрактерной и злокачественной артериальной гипертензии.</w:t>
      </w:r>
    </w:p>
    <w:p w14:paraId="4EBFFB5B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Классификация вторичных форм артериальной гипертензии. Дифференциальная диагностика и принципы терапии в амбулаторно-поликлинических условиях.</w:t>
      </w:r>
    </w:p>
    <w:p w14:paraId="361AB590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Особенности клинической картины, диагностики, дифференциальной диагностики и лечения симптоматической почечной артериальной гипертензии на амбулаторно-поликлиническом этапе.</w:t>
      </w:r>
    </w:p>
    <w:p w14:paraId="39B4378B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Особенности клинической картины, диагностики, дифференциальной диагностики и лечения симптоматической артериальной гипертензии при поражении крупных артериальных сосудов в амбулаторно-поликлинической практике.</w:t>
      </w:r>
    </w:p>
    <w:p w14:paraId="51C3AE5B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Особенности клинической картины, диагностики, дифференциальной диагностики и лечения симптоматической эндокринной артериальной гипертензии на амбулаторно-поликлиническом этапе.</w:t>
      </w:r>
    </w:p>
    <w:p w14:paraId="5B04B13F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Гипертонический криз. Определение, предрасполагающие состояния и триггерные факторы, классификация, клинические проявления и тактика ведения больных неосложненным гипертоническим кризом в амбулаторных условиях. Фармакодинамика и дифференцированное применение пероральных препаратов для купирования неосложненного криза.</w:t>
      </w:r>
    </w:p>
    <w:p w14:paraId="5E10B612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 xml:space="preserve">Гипертонический криз. Определение, предрасполагающие состояния и триггерные факторы, классификация, клинические проявления и тактика ведения больных осложненным гипертоническим кризом в амбулаторных условиях. </w:t>
      </w:r>
    </w:p>
    <w:p w14:paraId="4225B7DE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Боль в грудной клетке. Дифференциальная диагностика болей в грудной клетке коронарогенного и некоронарогенного генеза.</w:t>
      </w:r>
    </w:p>
    <w:p w14:paraId="3C0B85A2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Определение, причины, классификация, факторы риска и клинические признаки стенокардии. Диагностическое обследование в поликлинике. Стратификация риска. Показания для госпитализации. Экспертиза временной и стойкой утраты трудоспособности.</w:t>
      </w:r>
    </w:p>
    <w:p w14:paraId="2112645B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Цели и тактика лечения стабильной стенокардии врачом-терапевтом: немедикаментозные мероприятия, фармакологические препараты, улучшающие прогноз, терапия для купирования симптомов. Критерии эффективности. Реабилитация больных в условиях поликлиники.</w:t>
      </w:r>
    </w:p>
    <w:p w14:paraId="59A0BBFE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 xml:space="preserve">Тактика ведения пациента с инфарктом миокарда на амбулаторно-поликлиническом этапе: определение, причины, классификация, типичные и </w:t>
      </w:r>
      <w:r>
        <w:lastRenderedPageBreak/>
        <w:t xml:space="preserve">атипичные клинические формы. Диагностика в условиях поликлиники. Лечебные мероприятия на догоспитальном этапе. </w:t>
      </w:r>
    </w:p>
    <w:p w14:paraId="0658DD50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Ранние осложнения инфаркта миокарда. Диагностика и врачебная тактика при отеке легких и кардиогенном шоке на догоспитальном этапе. Диагностика и врачебная тактика при жизнеугрожающих нарушениях ритма и проводимости (пароксизмальная тахикардия, фибрилляция предсердий, фибрилляция желудочков, брадиаритмиях).</w:t>
      </w:r>
    </w:p>
    <w:p w14:paraId="1A2EF7F8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Принципы поэтапной системы реабилитации больных с инфарктом миокарда: фазы, периоды, виды реабилитации и их содержание. Противопоказания для направления в реабилитационное отделение кардиологического санатория. Амбулаторно-поликлинический этап реабилитации: цели, содержание. Принципы определения производственных нагрузок, объема и методов физической реабилитации на основании пробы с дозированной физической нагрузкой. Экспертиза временной и стойкой утраты трудоспособности, рациональное трудоустройство больных.</w:t>
      </w:r>
    </w:p>
    <w:p w14:paraId="16EB9786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Хроническая сердечная недостаточность в практике участкового терапевта: определение, причины, классификация, лабораторно-инструментальная диагностика.</w:t>
      </w:r>
    </w:p>
    <w:p w14:paraId="6720AC85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Тактика ведения больных с хронической сердечной недостаточностью в амбулаторно-поликлинических условиях: немедикаментозные мероприятия, фармакотерапия и профилактика.</w:t>
      </w:r>
    </w:p>
    <w:p w14:paraId="6B875709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Больной с легочной гипертензией на амбулаторно-поликлиническом этапе: определение, классификация и факторы риска легочной гипертензии. Этапы диагностического поиска, оценка тяжести и алгоритм лечения.</w:t>
      </w:r>
    </w:p>
    <w:p w14:paraId="4222E39D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 xml:space="preserve">Наджелудочковые нарушения ритма сердца: наджелудочковая экстрасистолия, ускоренные суправентрикулярные ритмы, наджелудочковые тахикардии, трепетание предсердий. Определение, классификация, диагностика, ЭКГ-критерии, неотложная помощь и тактика ведения пациентов в амбулаторных условиях. </w:t>
      </w:r>
    </w:p>
    <w:p w14:paraId="4F82D4E0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 xml:space="preserve">Фибрилляция предсердий: определение, этиология, эпидемиология, патогенетические механизмы, неблагоприятные исходы, классификация, клинические проявления, диагностика. Контроль ЧСС и ритма сердца при оказании неотложной помощи на догоспитальном этапе. </w:t>
      </w:r>
    </w:p>
    <w:p w14:paraId="692D8338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Принципы длительной терапии фибрилляции предсердий на амбулаторно-поликлиническом этапе. Нефармакологические методы профилактики инсульта. Антитромботическая терапия: стратификация риска инсульта и тромбоэмболий, лекарственные препараты, оценка риска кровотечений, контроль показателей свертываемости крови. Длительный контроль ЧСС и ритма сердца. Дополнительная терапия.</w:t>
      </w:r>
    </w:p>
    <w:p w14:paraId="120FE020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Желудочковые аритмии: желудочковые экстрасистолии, желудочковые тахикардии, трепетание и фибрилляция желудочков. Определение, классификация, диагностика, ЭКГ-критерии, неотложная помощь и тактика ведения пациентов в амбулаторных условиях.</w:t>
      </w:r>
    </w:p>
    <w:p w14:paraId="0615EADE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 xml:space="preserve">Брадиаритмии: дисфункция синусового узла, предсердно-желудочковые блокады. Определение, классификация, диагностика, ЭКГ-критерии, неотложная помощь и </w:t>
      </w:r>
      <w:r>
        <w:lastRenderedPageBreak/>
        <w:t>тактика ведения пациентов в амбулаторных условиях.</w:t>
      </w:r>
    </w:p>
    <w:p w14:paraId="11E005D1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Грипп в амбулаторно-поликлинической практике. Определение, этиология, этапы патогенеза, классификация, клинические проявления неосложненного гриппа и пандемического гриппа А (H1N1), осложнения, критерии оценки степени тяжести гриппа. Диагностика, выбор тактики ведения участковым терапевтом, показания для госпитализации и лечение амбулаторных пациентов. Экспертиза трудоспособности. Специфическая и неспецифическая профилактика гриппа.</w:t>
      </w:r>
    </w:p>
    <w:p w14:paraId="5A4BDB1F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 xml:space="preserve">Острые респираторно-вирусные инфекции в поликлинической практике (риновирусная, аденовирусная, респираторно-синцитиальная инфекции, парагрипп). План обследования, дифференциальная диагностика. Показания для госпитализации. Лечение и профилактика ОРВИ участковым терапевтом. Экспертиза временной нетрудоспособности. </w:t>
      </w:r>
    </w:p>
    <w:p w14:paraId="2B2216F2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Острый тонзиллит: дифференциальный диагноз, план обследования и лечения больного в амбулаторных условиях. Осложнения ангины. Тактика участкового терапевта при подозрении на дифтерию.</w:t>
      </w:r>
    </w:p>
    <w:p w14:paraId="55D6FDDB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Причины кашля, дифференциальный диагноз заболеваний, сопровождающихся кашлем, тактика обследования и лечения в амбулаторно-поликлинической практике.</w:t>
      </w:r>
    </w:p>
    <w:p w14:paraId="33D5A063" w14:textId="77777777" w:rsidR="00512F60" w:rsidRDefault="00885744">
      <w:pPr>
        <w:widowControl w:val="0"/>
        <w:numPr>
          <w:ilvl w:val="0"/>
          <w:numId w:val="1"/>
        </w:numPr>
        <w:tabs>
          <w:tab w:val="left" w:pos="1224"/>
        </w:tabs>
        <w:jc w:val="both"/>
        <w:rPr>
          <w:spacing w:val="-26"/>
        </w:rPr>
      </w:pPr>
      <w:r>
        <w:rPr>
          <w:spacing w:val="-5"/>
        </w:rPr>
        <w:t>Внебольничная пневмония: определение, клиническая картина, диагностические критерии, дифференциальная диагностика. Группы больных, подлежащих лечению в амбулаторно-поликлинических условиях. Шкалы оценки степени неблагоприятного прогноза и алгоритм выбора тактики ведения пациента. Показания для госпитализации.</w:t>
      </w:r>
    </w:p>
    <w:p w14:paraId="2576CA09" w14:textId="77777777" w:rsidR="00512F60" w:rsidRDefault="00885744">
      <w:pPr>
        <w:widowControl w:val="0"/>
        <w:numPr>
          <w:ilvl w:val="0"/>
          <w:numId w:val="1"/>
        </w:numPr>
        <w:tabs>
          <w:tab w:val="left" w:pos="1224"/>
        </w:tabs>
        <w:spacing w:before="5"/>
        <w:jc w:val="both"/>
        <w:rPr>
          <w:spacing w:val="-26"/>
        </w:rPr>
      </w:pPr>
      <w:r>
        <w:rPr>
          <w:spacing w:val="-5"/>
        </w:rPr>
        <w:t>Внебольничная пневмония: определение. Эмпирическая антибактериальная терапия внебольничной пневмонии в амбулаторных условиях. Содержание действий участкового терапевта во время посещений больного внебольничной пневмонии. Экспертиза временной нетрудоспособности. Профилактика внебольничной пневмонии.</w:t>
      </w:r>
    </w:p>
    <w:p w14:paraId="59318D77" w14:textId="77777777" w:rsidR="00512F60" w:rsidRDefault="00885744">
      <w:pPr>
        <w:widowControl w:val="0"/>
        <w:numPr>
          <w:ilvl w:val="0"/>
          <w:numId w:val="1"/>
        </w:numPr>
        <w:tabs>
          <w:tab w:val="left" w:pos="1224"/>
        </w:tabs>
        <w:spacing w:before="5"/>
        <w:jc w:val="both"/>
      </w:pPr>
      <w:r>
        <w:t>Больной с бронхообструктивным синдромом в практике участкового врача-терапевта. Определение, классификация, варианты и формы, факторы риска, клиника и диагностика бронхообструктивного синдрома. Дифференциальная диагностика. Тактика ведения и лечение больных с синдромом бронхиальной обструкции при оказании первичной медико-санитарной помощи. Экспертиза трудоспособности, показания для госпитализации, санаторно-курортного лечения.</w:t>
      </w:r>
    </w:p>
    <w:p w14:paraId="5D0CF209" w14:textId="77777777" w:rsidR="00512F60" w:rsidRDefault="00885744">
      <w:pPr>
        <w:widowControl w:val="0"/>
        <w:numPr>
          <w:ilvl w:val="0"/>
          <w:numId w:val="1"/>
        </w:numPr>
        <w:tabs>
          <w:tab w:val="left" w:pos="1224"/>
        </w:tabs>
        <w:spacing w:before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Определение, факторы риска, оценка степени тяжести бронхиальной астмы. Алгоритм первичной диагностики астмы в поликлинике, диагностические критерии, дифференциальная диагностика и осложнения бронхиальной астмы.</w:t>
      </w:r>
      <w:r>
        <w:rPr>
          <w:spacing w:val="1"/>
        </w:rPr>
        <w:t xml:space="preserve"> Экспертиза трудоспособности. Диспансерное наблюдение больных бронхиальной астмой участковым терапевтом.</w:t>
      </w:r>
    </w:p>
    <w:p w14:paraId="54AE1B02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Оценка контроля бронхиальной астмы.</w:t>
      </w:r>
      <w:r>
        <w:rPr>
          <w:spacing w:val="2"/>
        </w:rPr>
        <w:t xml:space="preserve"> Лекарственные средства и стратегии, направленные на контроль симптомов и снижение риска, ступенчатая терапия астмы</w:t>
      </w:r>
      <w:r>
        <w:rPr>
          <w:spacing w:val="-13"/>
        </w:rPr>
        <w:t>.</w:t>
      </w:r>
      <w:r>
        <w:t xml:space="preserve"> </w:t>
      </w:r>
      <w:r>
        <w:rPr>
          <w:spacing w:val="2"/>
        </w:rPr>
        <w:t xml:space="preserve">Нефармакологические методы и стратегии терапии. Тактика ведения пациентов с неудовлетворительным контролем симптомов на амбулаторном этапе. </w:t>
      </w:r>
    </w:p>
    <w:p w14:paraId="364F1077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lastRenderedPageBreak/>
        <w:t>Обострение бронхиальной астмы: определение, патогенез, диагностика, оценка степени тяжести. Тактика ведения и оказание неотложной помощи на амбулаторном этапе в зависимости от степени тяжести обострения.</w:t>
      </w:r>
    </w:p>
    <w:p w14:paraId="12377EEC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Диагностика бронхиальной астмы, хронической обструктивной болезни легких и синдрома перекреста БА-ХОБЛ (СПБАХ) в амбулаторно-поликлинических условиях: поэтапный подход к диагностике у пациентов с симптомами со стороны органов дыхания.</w:t>
      </w:r>
    </w:p>
    <w:p w14:paraId="760CE777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Хроническая обструктивная болезнь легких (ХОБЛ)</w:t>
      </w:r>
      <w:r>
        <w:rPr>
          <w:spacing w:val="-5"/>
        </w:rPr>
        <w:t xml:space="preserve">: определение, факторы риска, фенотипы ХОБЛ. Инструментальная диагностика и мониторирование течения ХОБЛ в условиях поликлиники.  </w:t>
      </w:r>
      <w:r>
        <w:t xml:space="preserve">Современная классификация ХОБЛ. Интегральная оценка симптомов, спирометрической классификации и риска осложнений. Критерии постановки диагноза, </w:t>
      </w:r>
      <w:r>
        <w:rPr>
          <w:spacing w:val="-5"/>
        </w:rPr>
        <w:t>дифференциальная диагностика, формулировка диагноза.</w:t>
      </w:r>
    </w:p>
    <w:p w14:paraId="6818C839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Критерии обострения хронической обструктивной болезни легких и определение его тяжести. Тактика ведения больного и принципы лечения в амбулаторных условиях. О</w:t>
      </w:r>
      <w:r>
        <w:rPr>
          <w:spacing w:val="-5"/>
        </w:rPr>
        <w:t>сложнения, показания для госпитализации, о</w:t>
      </w:r>
      <w:r>
        <w:t>собенности проведения экспертизы трудоспособности</w:t>
      </w:r>
      <w:r>
        <w:rPr>
          <w:spacing w:val="-5"/>
        </w:rPr>
        <w:t>. Диспансерное наблюдение больных ХОБЛ участковым терапевтом.</w:t>
      </w:r>
    </w:p>
    <w:p w14:paraId="19C626A0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Лечение стабильной хронической обструктивной болезни легких в амбулаторных условиях: цели терапии, нефармакологическое лечение и лекарственная терапия. Профилактика и реабилитация больных с ХОБЛ. Определение индекса курильщика, характеристика антисмокинговых программ.</w:t>
      </w:r>
    </w:p>
    <w:p w14:paraId="61C47B86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rPr>
          <w:rFonts w:ascii="Times New Roman" w:hAnsi="Times New Roman"/>
        </w:rPr>
        <w:t>Лихорадочный синдром в амбулаторной практике: определение, причины, патогенетические механизмы развития, классификация лихорадок</w:t>
      </w:r>
      <w:r>
        <w:t>, этапы дифференциально-диагностического поиска в работе врача участкового терапевта. Тактика ведения и лечение больных с длительным субфебрилитетом.</w:t>
      </w:r>
    </w:p>
    <w:p w14:paraId="49C3B4BF" w14:textId="77777777" w:rsidR="00512F60" w:rsidRDefault="00885744">
      <w:pPr>
        <w:widowControl w:val="0"/>
        <w:numPr>
          <w:ilvl w:val="0"/>
          <w:numId w:val="1"/>
        </w:numPr>
        <w:tabs>
          <w:tab w:val="left" w:pos="1013"/>
        </w:tabs>
        <w:spacing w:before="5"/>
        <w:jc w:val="both"/>
      </w:pPr>
      <w:r>
        <w:t>Определение, причины, классификация, этапы дифференциально-диагностического поиска при лихорадке неясного генеза в практике врача участкового терапевта. Тактика ведения и лечение больного с лихорадкой неясного генеза в поликлинике.</w:t>
      </w:r>
    </w:p>
    <w:p w14:paraId="73F9E0E5" w14:textId="77777777" w:rsidR="00512F60" w:rsidRDefault="00885744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Головная боль  в амбулаторной практике: эпидемиология, клинические проявления, распространенность и медико-социальное значение головной боли, разновидности первичных головных болей, типы вторичных головных болей,  сигналы опасности головной боли, тактика обследования. </w:t>
      </w:r>
    </w:p>
    <w:p w14:paraId="5435A567" w14:textId="77777777" w:rsidR="00512F60" w:rsidRDefault="00885744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Головная боль напряжения:  эпидемиология головной боли напряжения, клинические проявления, классификация и клинические разновидности головной боли напряжения, тактика обследования, лечения.</w:t>
      </w:r>
    </w:p>
    <w:p w14:paraId="29175622" w14:textId="77777777" w:rsidR="00512F60" w:rsidRDefault="00885744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Психические расстройства в практике врача участкового терапевта: эпидемиология, классификация, диагностика, неотложная помощь. </w:t>
      </w:r>
      <w:r>
        <w:rPr>
          <w:rFonts w:ascii="Times New Roman" w:hAnsi="Times New Roman"/>
          <w:spacing w:val="2"/>
        </w:rPr>
        <w:t xml:space="preserve">Тактика ведения пациентов с психическими расстройствами на амбулаторном этапе. </w:t>
      </w:r>
    </w:p>
    <w:p w14:paraId="7F501789" w14:textId="77777777" w:rsidR="00512F60" w:rsidRDefault="00885744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Определение, причины, классификация </w:t>
      </w:r>
      <w:r>
        <w:rPr>
          <w:rFonts w:ascii="Times New Roman" w:hAnsi="Times New Roman"/>
          <w:highlight w:val="white"/>
        </w:rPr>
        <w:t xml:space="preserve">депрессии </w:t>
      </w:r>
      <w:r>
        <w:rPr>
          <w:rFonts w:ascii="Times New Roman" w:hAnsi="Times New Roman"/>
        </w:rPr>
        <w:t xml:space="preserve">в практике врача участкового терапевта. Клинические проявления, распространенность и медико-социальное значение депрессии. Дифференциальная диагностика эндогенной и психогенной депрессии. </w:t>
      </w:r>
      <w:r>
        <w:rPr>
          <w:rFonts w:ascii="Times New Roman" w:hAnsi="Times New Roman"/>
          <w:spacing w:val="2"/>
        </w:rPr>
        <w:t xml:space="preserve">Тактика ведения пациентов с депрессивными расстройствами на амбулаторном этапе. </w:t>
      </w:r>
    </w:p>
    <w:p w14:paraId="3EA3E405" w14:textId="77777777" w:rsidR="00512F60" w:rsidRDefault="00512F60">
      <w:pPr>
        <w:widowControl w:val="0"/>
        <w:tabs>
          <w:tab w:val="left" w:pos="1013"/>
        </w:tabs>
        <w:spacing w:before="5"/>
        <w:jc w:val="both"/>
        <w:rPr>
          <w:color w:val="FF0000"/>
        </w:rPr>
      </w:pPr>
    </w:p>
    <w:p w14:paraId="306F7A65" w14:textId="77777777" w:rsidR="00512F60" w:rsidRDefault="00885744">
      <w:pPr>
        <w:widowControl w:val="0"/>
        <w:tabs>
          <w:tab w:val="left" w:pos="1013"/>
        </w:tabs>
        <w:spacing w:before="5"/>
        <w:jc w:val="both"/>
      </w:pPr>
      <w:r>
        <w:lastRenderedPageBreak/>
        <w:t>Заместитель заведующей кафедрой по учебной работе,</w:t>
      </w:r>
    </w:p>
    <w:p w14:paraId="3FB741B8" w14:textId="77777777" w:rsidR="00512F60" w:rsidRDefault="00885744">
      <w:pPr>
        <w:widowControl w:val="0"/>
        <w:tabs>
          <w:tab w:val="left" w:pos="1013"/>
        </w:tabs>
        <w:spacing w:before="5"/>
        <w:jc w:val="both"/>
      </w:pPr>
      <w:r>
        <w:t xml:space="preserve">доцент, к.м.н.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________________ Е.Ю. Есина</w:t>
      </w:r>
    </w:p>
    <w:p w14:paraId="7460FF31" w14:textId="77777777" w:rsidR="00512F60" w:rsidRDefault="00512F60">
      <w:pPr>
        <w:widowControl w:val="0"/>
        <w:tabs>
          <w:tab w:val="left" w:pos="1013"/>
        </w:tabs>
        <w:spacing w:before="5"/>
        <w:jc w:val="both"/>
        <w:rPr>
          <w:color w:val="FF0000"/>
        </w:rPr>
      </w:pPr>
    </w:p>
    <w:p w14:paraId="482AE25A" w14:textId="77777777" w:rsidR="00512F60" w:rsidRDefault="00512F60"/>
    <w:sectPr w:rsidR="00512F60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91EE7"/>
    <w:multiLevelType w:val="hybridMultilevel"/>
    <w:tmpl w:val="DD8E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D3AB5"/>
    <w:multiLevelType w:val="multilevel"/>
    <w:tmpl w:val="BFF23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60"/>
    <w:rsid w:val="00512F60"/>
    <w:rsid w:val="006E1994"/>
    <w:rsid w:val="0088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075F"/>
  <w15:docId w15:val="{38F103BB-B938-4D1B-B340-E3D05C49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6E19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2102</Words>
  <Characters>11987</Characters>
  <Application>Microsoft Office Word</Application>
  <DocSecurity>0</DocSecurity>
  <Lines>99</Lines>
  <Paragraphs>28</Paragraphs>
  <ScaleCrop>false</ScaleCrop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Лидохова</cp:lastModifiedBy>
  <cp:revision>3</cp:revision>
  <dcterms:created xsi:type="dcterms:W3CDTF">2021-11-29T10:33:00Z</dcterms:created>
  <dcterms:modified xsi:type="dcterms:W3CDTF">2021-12-25T09:26:00Z</dcterms:modified>
</cp:coreProperties>
</file>