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74"/>
      </w:tblGrid>
      <w:tr w:rsidR="006E79A3" w:rsidRPr="00C46EDE" w:rsidTr="00770DE6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74" w:type="dxa"/>
          </w:tcPr>
          <w:p w:rsidR="006E79A3" w:rsidRPr="0014186D" w:rsidRDefault="008A789F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>Будневский</w:t>
            </w:r>
            <w:proofErr w:type="spellEnd"/>
            <w:r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Валериевич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074" w:type="dxa"/>
          </w:tcPr>
          <w:p w:rsidR="006E79A3" w:rsidRPr="00E22307" w:rsidRDefault="008A789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наук, </w:t>
            </w: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заслуженный изобретатель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заведующий кафедрой факультетской терапии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074" w:type="dxa"/>
          </w:tcPr>
          <w:p w:rsidR="006E79A3" w:rsidRPr="00E22307" w:rsidRDefault="008A789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74" w:type="dxa"/>
          </w:tcPr>
          <w:p w:rsidR="006E79A3" w:rsidRPr="00E22307" w:rsidRDefault="008A789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avbudnevski@vrngmu.ru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074" w:type="dxa"/>
          </w:tcPr>
          <w:p w:rsidR="006E79A3" w:rsidRPr="00E22307" w:rsidRDefault="008A789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+7 (473) 263-81-30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14186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 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языками</w:t>
            </w:r>
          </w:p>
        </w:tc>
        <w:tc>
          <w:tcPr>
            <w:tcW w:w="5074" w:type="dxa"/>
          </w:tcPr>
          <w:p w:rsidR="006E79A3" w:rsidRPr="00E22307" w:rsidRDefault="008A789F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E79A3" w:rsidRPr="00C46EDE" w:rsidTr="00770DE6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074" w:type="dxa"/>
          </w:tcPr>
          <w:p w:rsidR="008A789F" w:rsidRPr="008A789F" w:rsidRDefault="008A789F" w:rsidP="008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1. Системный анализ психосоматических соотношений в клинике внутренних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89F" w:rsidRPr="008A789F" w:rsidRDefault="008A789F" w:rsidP="008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2. Мелатонин у больных с патологией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89F" w:rsidRPr="008A789F" w:rsidRDefault="008A789F" w:rsidP="008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3. Системы мониторинга и управления лечебно-диагностическим процессом в клинике внутренних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89F" w:rsidRPr="008A789F" w:rsidRDefault="008A789F" w:rsidP="008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4. Медикаментозные и немедикаментозные методы терапии заболеваний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A3" w:rsidRPr="00E22307" w:rsidRDefault="008A789F" w:rsidP="008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8A789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заболевания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9A3" w:rsidRPr="00692B73" w:rsidTr="00770DE6">
        <w:tc>
          <w:tcPr>
            <w:tcW w:w="9180" w:type="dxa"/>
            <w:gridSpan w:val="2"/>
          </w:tcPr>
          <w:p w:rsidR="006E79A3" w:rsidRPr="0014186D" w:rsidRDefault="00A5259D" w:rsidP="0014186D">
            <w:pPr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(2020-2023</w:t>
            </w:r>
            <w:r w:rsidR="006E79A3"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оль тучных клеток и их протеаз в поражении легких у пациентов с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Шишкина В.В., Есауленко Д.И., Филин А.А., Савушкина И.А.,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И.М., Алексеева Н.Г. Пульмонология. 2023. Т. 33. № 1. С. 17-26.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линическое значение белка булавовидных клеток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СС16 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в респираторной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М.М., Авдеев С.Н.,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Пульмонология. 2023. Т. 33. № 3. С. 401-407.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очетанное влияние </w:t>
            </w:r>
            <w:proofErr w:type="spellStart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мультиморбидности</w:t>
            </w:r>
            <w:proofErr w:type="spellEnd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повышенного индекса массы тела на контроль бронхиальной астмы и качество жизни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Л.В., Авдеев С.Н.,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Г.Г., Кожевникова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Российский медико-биологический вестник имени академика И. П. Павлова. 2023. Т. 31. № 1. С. 37-48.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очетанное влияние </w:t>
            </w:r>
            <w:proofErr w:type="spellStart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мультиморбидности</w:t>
            </w:r>
            <w:proofErr w:type="spellEnd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повышенного индекса массы тела на контроль бронхиальной астмы и качество жизни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Л.В., Авдеев С.Н.,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Г.Г., Кожевникова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Российский медико-биологический вестник имени академика И. П. Павлова. 2023. Т. 31. № 1. С. 37-48.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стрый коронарный синдром в период пандемии новой </w:t>
            </w:r>
            <w:proofErr w:type="spellStart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Овсянников Е.С., Дробышева Е.С. Рациональная фармакотерапия в кардиологии. 2023. Т. 19. № 1. С. 65-70.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собенности течения стабильной стенокардии напряжения на фоне железодефицитной анемии в амбулаторно-поликлинической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Н.Е., Остроушко Н.И., Бражников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Медицинский совет. 2023. Т. 17. № 13. С. 246-255.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ценка влияния внелегочных персонифицированных факторов на контроль бронхиальной астмы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О.Н., Кожевникова С.А., Олышева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вестник. 2023. Т. 14. № 1. С. 27-38.</w:t>
            </w:r>
          </w:p>
          <w:p w:rsidR="00A5259D" w:rsidRP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omprehensive assessment of </w:t>
            </w:r>
            <w:proofErr w:type="spellStart"/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cardiometabolic</w:t>
            </w:r>
            <w:proofErr w:type="spellEnd"/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risk in patients with chronic obstructive pulmonary disease and obesity</w:t>
            </w: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Korchagina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 International Journal of Biomedicine. 2023.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№ 1.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31-36.</w:t>
            </w:r>
          </w:p>
          <w:p w:rsidR="00A5259D" w:rsidRP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sthma control in </w:t>
            </w:r>
            <w:proofErr w:type="spellStart"/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multimorbid</w:t>
            </w:r>
            <w:proofErr w:type="spellEnd"/>
            <w:r w:rsidR="00692B73"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</w:t>
            </w: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Tribuntseva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Kozhevnikova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Olysheva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 International Journal of Biomedicine. 2023. Т. 13. № 1. </w:t>
            </w:r>
            <w:proofErr w:type="gram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37</w:t>
            </w:r>
            <w:proofErr w:type="gram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рофилактика хронических неинфекционных заболеваний в российской федерации</w:t>
            </w:r>
            <w:proofErr w:type="gramStart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ациональное руководство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О.М., Концевая А.В., Калинина А.М., Авдеев С.Н., Агальцов М.В., Александрова Л.М., Анциферова А.А., Аронов Д.М.,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Ахмеджанов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Т.В., Бернс С.А., Бочкарев М.В., Бочкарева Е.В.,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Гамбарян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М.Г., Горбунов В.М., Горный Б.Э., Горшков А.Ю.</w:t>
            </w:r>
            <w:proofErr w:type="gram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Кардиоваскулярная терапия и профилактика. 2022. Т. 21. </w:t>
            </w:r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4. </w:t>
            </w:r>
            <w:proofErr w:type="gramStart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</w:t>
            </w:r>
            <w:proofErr w:type="gramEnd"/>
            <w:r w:rsidRPr="00A5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-232.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пектральный анализ звуков кашля у больных covid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Фейгельман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О.Н., Максимов А.В., Перцев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Пульмонология. 2022. Т. 32. № 6. С. 834-841.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ровень и связи стимулирующего фактора роста, кодируемого геном 2, с клинико-лабораторными и инструментальными характеристиками больных хронической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А.Я.,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Черник Т.А.,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Российский кардиологический журнал. 2022. Т. 27. № 5. С. 78-82.</w:t>
            </w:r>
          </w:p>
          <w:p w:rsidR="00A5259D" w:rsidRDefault="00A5259D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B73" w:rsidRPr="00A5259D">
              <w:rPr>
                <w:rFonts w:ascii="Times New Roman" w:hAnsi="Times New Roman" w:cs="Times New Roman"/>
                <w:sz w:val="24"/>
                <w:szCs w:val="24"/>
              </w:rPr>
              <w:t>крининг анемического синдрома у больных ишемической болезнью сердца в амбулаторной практике с использованием компьютерной системы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</w:t>
            </w:r>
            <w:proofErr w:type="spellStart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  <w:proofErr w:type="spellEnd"/>
            <w:r w:rsidRPr="00A5259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9D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2022. Т. 21. № 2. С. 137-144.</w:t>
            </w:r>
          </w:p>
          <w:p w:rsidR="00A5259D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(COVID-19) 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>и патология почек</w:t>
            </w:r>
            <w:r w:rsidR="00692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А.Я., Концевая А.В.,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А.В., Черник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2022. Т. 25. № 3. С. 92-97.</w:t>
            </w:r>
          </w:p>
          <w:p w:rsidR="00E80EB7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>линическое значение мелатонина при бронхиальной астме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Кожевникова С.А.,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Л.Н., Овсянников Е.С., Шишкина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легких. 2022. Т. 100. № 1. С. 61-66.</w:t>
            </w:r>
          </w:p>
          <w:p w:rsidR="00E80EB7" w:rsidRPr="00E80EB7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ossible unexplored aspects </w:t>
            </w: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COVID-19 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pathogenesis: the role of carboxypeptidase</w:t>
            </w: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A3.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Shishkina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Esaulenko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Shumilovich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B.R.,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Savushkina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Alekseeva N.G. International Journal of Biomedicine. 2022.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12.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№ 2. С. 179-182.</w:t>
            </w:r>
          </w:p>
          <w:p w:rsidR="00A5259D" w:rsidRPr="00E80EB7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creening of anemia in patients with coronary heart disease in outpatient practice using a computer monitoring system</w:t>
            </w: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Simion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Nekhaenko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N.E.,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Malyukova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International Journal of Biomedicine. 2022. Т. 12. № 3. </w:t>
            </w:r>
            <w:proofErr w:type="gram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355</w:t>
            </w:r>
            <w:proofErr w:type="gram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-359.</w:t>
            </w:r>
          </w:p>
          <w:p w:rsidR="00E80EB7" w:rsidRPr="00E80EB7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peculiarities of six-minute walk test in patients with chronic obstructive pulmonary disease, some with normal weight and some overweight</w:t>
            </w:r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Kachur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 International Journal of Biomedicine. 2022. Т. 12. № 4. </w:t>
            </w:r>
            <w:proofErr w:type="gramStart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530</w:t>
            </w:r>
            <w:proofErr w:type="gramEnd"/>
            <w:r w:rsidRPr="00E8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-534.</w:t>
            </w:r>
          </w:p>
          <w:p w:rsidR="00E80EB7" w:rsidRDefault="00E80EB7" w:rsidP="00397436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B73" w:rsidRPr="00E80EB7">
              <w:rPr>
                <w:rFonts w:ascii="Times New Roman" w:hAnsi="Times New Roman" w:cs="Times New Roman"/>
                <w:sz w:val="24"/>
                <w:szCs w:val="24"/>
              </w:rPr>
              <w:t>лияние коррекции анемического синдрома на течение ишемической болезни сердца в амбулаторно-поликлинической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Н.Е., Остроушко Н.И., </w:t>
            </w:r>
            <w:proofErr w:type="spellStart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  <w:proofErr w:type="spellEnd"/>
            <w:r w:rsidRPr="00E80EB7">
              <w:rPr>
                <w:rFonts w:ascii="Times New Roman" w:hAnsi="Times New Roman" w:cs="Times New Roman"/>
                <w:sz w:val="24"/>
                <w:szCs w:val="24"/>
              </w:rPr>
              <w:t xml:space="preserve"> А.Ю., Мартынов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B7">
              <w:rPr>
                <w:rFonts w:ascii="Times New Roman" w:hAnsi="Times New Roman" w:cs="Times New Roman"/>
                <w:sz w:val="24"/>
                <w:szCs w:val="24"/>
              </w:rPr>
              <w:t>Терапия. 2022. Т. 8. № 8 (60). С. 32-40.</w:t>
            </w:r>
          </w:p>
          <w:p w:rsidR="00770DE6" w:rsidRPr="00D83218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218" w:rsidRPr="0095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957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ищевой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ожирения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хронической</w:t>
            </w:r>
            <w:r w:rsidR="00692B73" w:rsidRPr="009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О.М., Авдеев С.Н.,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Концевая А.В., Дробышева Е.С. Вопросы питания. 2021. Т. 90. № 6 (538). С. 42-49.</w:t>
            </w:r>
          </w:p>
          <w:p w:rsidR="00770DE6" w:rsidRDefault="00D83218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елатонин и </w:t>
            </w:r>
            <w:proofErr w:type="gram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патология: от механизмов действия к возможностям клинического применения (обзор литературы). </w:t>
            </w:r>
            <w:proofErr w:type="spellStart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О.М., Концевая А.В., </w:t>
            </w:r>
            <w:proofErr w:type="spellStart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Овсянников Е.С., Дробышева Е.С., </w:t>
            </w:r>
            <w:proofErr w:type="spellStart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В.И., Макеева А.В., </w:t>
            </w:r>
            <w:proofErr w:type="spellStart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М.В. Кардиоваскулярная терапия и профилактика. 2021. Т. 20. </w:t>
            </w:r>
            <w:r w:rsidRPr="00D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8. С. 106-113.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ейропептид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y как </w:t>
            </w:r>
            <w:proofErr w:type="gram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  <w:proofErr w:type="gram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биомаркер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бронхиальной астмой и ожирением.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Я.С., Авдеев С.Н.,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Л.В. Пульмонология. 2021. Т. 31. № 6. С. 759-767.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илирубин и </w:t>
            </w:r>
            <w:proofErr w:type="gram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gram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М.С., Черник Т.А. Российский кардиологический журнал. 2021. Т. 26. № 9. С. 116-121.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иомаркеры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ST2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интерлейкин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33 в оценке кардиального воспаления, фиброза и прогноза пациентов с хронической сердечной недостаточностью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О.М., Концевая А.В., Кравченко А.Я.,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Р.Е., Черник Т.А. Российский кардиологический журнал. 2021. Т. 26. № S3. С. 79-85.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начение физической активности для клинического течения бронхиальной астмы: обзор литературы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Я.С., Иванчук Ю.С.,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Р.Е. Российский медико-биологический вестник имени академика И.П. Павлова. 2021. Т. 29. № 1. С. 161-170.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Э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ффекты мелатонина при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COVID-19.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Авдеев С.Н., Овсянников Е.С., Шишкина В.В.,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Л.Н. Профилактическая медицина. 2021. Т. 24. № 9. С. 110-115.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ронхиальная астма и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COVID-19: </w:t>
            </w:r>
            <w:r w:rsidR="00692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опросы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Овсянников Е.С., Авдеев С.Н.,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Дробышева Е.С., Савушкина И.А. Туберкулез и болезни легких.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99. № 9.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6-14.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eatures of the functional status and cytokine profile of patients with chronic heart failure in combination with chronic obstructive pulmonary disease.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Chernik T.A. International Journal of Biomedicine. 2021.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1.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9-13.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experience of surfactant therapy in severe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COVID-19 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pneumonia: a case report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Banin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Grechkin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Neznamov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O.D.,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Savushkina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 International Journal of Biomedicine. 2021.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2.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177-180.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europeptide y and asthma clinical course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Prozorova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Volynkina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Olysheva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 International Journal of Biomedicine.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2021. Т. 11. № 4. С. 410-413.</w:t>
            </w:r>
          </w:p>
          <w:p w:rsidR="00D83218" w:rsidRPr="00D83218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ипераммониемия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хронической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и ожирением: механизмы ассоциации, частота выявления и возможности коррекции.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С.А.,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 Терапевтический арх</w:t>
            </w:r>
            <w:r w:rsidR="0014186D">
              <w:rPr>
                <w:rFonts w:ascii="Times New Roman" w:hAnsi="Times New Roman" w:cs="Times New Roman"/>
                <w:sz w:val="24"/>
                <w:szCs w:val="24"/>
              </w:rPr>
              <w:t>ив. 2020. Т. 92. № 2. С. 55-60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истемное воспаление у больных хронической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и ожирением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Овсянников Е.С., Авдеев С.Н.,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 Терапевтический архив. 2020. Т. 92. № 3. С. 13-18.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жирение у больных хронической </w:t>
            </w:r>
            <w:proofErr w:type="spellStart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легких: предпосылки к выделению отдельного фенотипа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. Овсянников Е.С., Авдеев С.Н.,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 Пульмонология. 2020. Т. 30. № 3. С. 312-319.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иагностические, прогностические и терапевтические возможности использования теста 6-минутной ходьбы у пациентов с хронической сердечной недостаточностью.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А.В., Кравченко А.Я.,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Р.Е., Черник Т.А.,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Летникова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 xml:space="preserve"> Ю.Б. Кардиоваскулярная терапия и профилактика.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19. № 6.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109-116.</w:t>
            </w:r>
          </w:p>
          <w:p w:rsidR="00770DE6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</w:t>
            </w:r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redictive markers of atrial fibrillation progression in heart failure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Natarov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Zhdanov A.I.,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Provotorov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Sharapova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Ju.A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International Journal of Biomedicine. 2020.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1.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20-23.</w:t>
            </w:r>
          </w:p>
          <w:p w:rsidR="006E79A3" w:rsidRPr="00692B73" w:rsidRDefault="0095767D" w:rsidP="0039743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</w:t>
            </w:r>
            <w:bookmarkStart w:id="0" w:name="_GoBack"/>
            <w:r w:rsidR="00692B73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rognostic role of melatonin in the assessment of the hypertension clinical course. </w:t>
            </w:r>
            <w:bookmarkEnd w:id="0"/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Rezova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Kozhevnikova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N.O., </w:t>
            </w:r>
            <w:proofErr w:type="spellStart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International Journal of Biomedicine. </w:t>
            </w:r>
            <w:r w:rsidR="00D83218" w:rsidRPr="0069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218" w:rsidRPr="0069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3. </w:t>
            </w:r>
            <w:r w:rsidR="00D83218" w:rsidRPr="00D83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218" w:rsidRPr="0069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231-234.</w:t>
            </w:r>
          </w:p>
        </w:tc>
      </w:tr>
      <w:tr w:rsidR="006E79A3" w:rsidRPr="00C46EDE" w:rsidTr="00770DE6">
        <w:tc>
          <w:tcPr>
            <w:tcW w:w="9180" w:type="dxa"/>
            <w:gridSpan w:val="2"/>
          </w:tcPr>
          <w:p w:rsidR="008A789F" w:rsidRPr="0014186D" w:rsidRDefault="0095767D" w:rsidP="0014186D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(2020-2023</w:t>
            </w:r>
            <w:r w:rsidR="006E79A3"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8A789F"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C34" w:rsidRPr="00F22C34" w:rsidRDefault="00F22C34" w:rsidP="00F22C34">
            <w:pPr>
              <w:pStyle w:val="a5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 xml:space="preserve">I Съезд терапевтов Центрального федерального округа в Рязани, Рязань, 8 июня 2023 г. </w:t>
            </w:r>
          </w:p>
          <w:p w:rsidR="001A5AE2" w:rsidRDefault="001A5AE2" w:rsidP="00397436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E2">
              <w:rPr>
                <w:rFonts w:ascii="Times New Roman" w:hAnsi="Times New Roman" w:cs="Times New Roman"/>
                <w:sz w:val="24"/>
                <w:szCs w:val="24"/>
              </w:rPr>
              <w:t>VI междисциплинарный медицинский ФОРУМ «Актуальные вопросы врачебной практики. Весна Черноземья»</w:t>
            </w:r>
            <w:r w:rsidR="00397436">
              <w:rPr>
                <w:rFonts w:ascii="Times New Roman" w:hAnsi="Times New Roman" w:cs="Times New Roman"/>
                <w:sz w:val="24"/>
                <w:szCs w:val="24"/>
              </w:rPr>
              <w:t xml:space="preserve"> Воронеж, 25 мая 2023 г. </w:t>
            </w:r>
          </w:p>
          <w:p w:rsidR="002E7E75" w:rsidRDefault="002E7E75" w:rsidP="00397436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75">
              <w:rPr>
                <w:rFonts w:ascii="Times New Roman" w:hAnsi="Times New Roman" w:cs="Times New Roman"/>
                <w:sz w:val="24"/>
                <w:szCs w:val="24"/>
              </w:rPr>
              <w:t xml:space="preserve">XXX Российский национальный конгресс «Человек и лекарство» Москва, 10–13 апреля 2023 г. </w:t>
            </w:r>
          </w:p>
          <w:p w:rsidR="00F22C34" w:rsidRDefault="00F22C34" w:rsidP="00397436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«Неинфекционные заболевания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здоровье населения России» Москва 24</w:t>
            </w:r>
            <w:r w:rsidRPr="002E7E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2C34" w:rsidRPr="00F22C34" w:rsidRDefault="00F22C34" w:rsidP="00F22C34">
            <w:pPr>
              <w:pStyle w:val="a5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РНМОТ диалоги о внутренней медицине. Оренбург, 5 апреля 2022 г. </w:t>
            </w:r>
          </w:p>
          <w:p w:rsidR="0095767D" w:rsidRDefault="00137B27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РНМОТ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B27">
              <w:rPr>
                <w:rFonts w:ascii="Times New Roman" w:hAnsi="Times New Roman" w:cs="Times New Roman"/>
                <w:sz w:val="24"/>
                <w:szCs w:val="24"/>
              </w:rPr>
              <w:t>диалоги о внутренней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2C34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="00F22C3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3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</w:p>
          <w:p w:rsidR="00CA5B16" w:rsidRPr="00CA5B16" w:rsidRDefault="00CA5B16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>Видеоконференция образовательной школы «Междисциплинарные вопросы клиники внутренних болезней». Воронеж, 26 ноября 2021 г.</w:t>
            </w:r>
          </w:p>
          <w:p w:rsidR="00CA5B16" w:rsidRPr="00CA5B16" w:rsidRDefault="00CA5B16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 xml:space="preserve">16-й национальный конгресс терапевтов с международным участием. Москва, 17-19 ноября 2021 г. </w:t>
            </w:r>
          </w:p>
          <w:p w:rsidR="00F22C34" w:rsidRDefault="00CA5B16" w:rsidP="00F22C34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вопросы терапевтической службы Воронежской области» в рамках 52 межрегионального специализированного форума «Здравоохранение Черноземья», 04 октября 2021 г. ВГМУ им. Н.Н. Бурденко.</w:t>
            </w:r>
          </w:p>
          <w:p w:rsidR="00CA5B16" w:rsidRPr="00F22C34" w:rsidRDefault="00CA5B16" w:rsidP="00F22C34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</w:t>
            </w:r>
            <w:proofErr w:type="spellStart"/>
            <w:r w:rsidRPr="00F22C34">
              <w:rPr>
                <w:rFonts w:ascii="Times New Roman" w:hAnsi="Times New Roman" w:cs="Times New Roman"/>
                <w:sz w:val="24"/>
                <w:szCs w:val="24"/>
              </w:rPr>
              <w:t>Миниинвазивные</w:t>
            </w:r>
            <w:proofErr w:type="spellEnd"/>
            <w:r w:rsidRPr="00F22C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лечении онкологических пациентов. Современные подходы к терапии онкологических больных», Воронеж, 20 октября 2021 г.</w:t>
            </w:r>
          </w:p>
          <w:p w:rsidR="00CA5B16" w:rsidRPr="00CA5B16" w:rsidRDefault="00CA5B16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«Диалоги о терапии», Воронеж, 21 мая 2021 г. ВГМУ им. Н.Н. Бурденко.</w:t>
            </w:r>
          </w:p>
          <w:p w:rsidR="00CA5B16" w:rsidRPr="00CA5B16" w:rsidRDefault="00CA5B16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 xml:space="preserve">XVII Международная </w:t>
            </w:r>
            <w:proofErr w:type="spellStart"/>
            <w:r w:rsidRPr="00CA5B16">
              <w:rPr>
                <w:rFonts w:ascii="Times New Roman" w:hAnsi="Times New Roman" w:cs="Times New Roman"/>
                <w:sz w:val="24"/>
                <w:szCs w:val="24"/>
              </w:rPr>
              <w:t>Бурденковская</w:t>
            </w:r>
            <w:proofErr w:type="spellEnd"/>
            <w:r w:rsidRPr="00CA5B1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конференция, Воронеж, апрель 2021 г.</w:t>
            </w:r>
          </w:p>
          <w:p w:rsidR="006E79A3" w:rsidRPr="00E22307" w:rsidRDefault="00CA5B16" w:rsidP="00397436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6">
              <w:rPr>
                <w:rFonts w:ascii="Times New Roman" w:hAnsi="Times New Roman" w:cs="Times New Roman"/>
                <w:sz w:val="24"/>
                <w:szCs w:val="24"/>
              </w:rPr>
              <w:t>61-я Межрегиональная научно-практическая конференция РНМОТ. Воронеж, 13–14 февраля 2020 г.</w:t>
            </w:r>
          </w:p>
        </w:tc>
      </w:tr>
      <w:tr w:rsidR="006E79A3" w:rsidRPr="00C46EDE" w:rsidTr="00770DE6">
        <w:tc>
          <w:tcPr>
            <w:tcW w:w="9180" w:type="dxa"/>
            <w:gridSpan w:val="2"/>
          </w:tcPr>
          <w:p w:rsidR="006E79A3" w:rsidRPr="0014186D" w:rsidRDefault="006E79A3" w:rsidP="0014186D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  <w:r w:rsidR="008A789F" w:rsidRPr="0014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89F" w:rsidRPr="008A789F" w:rsidRDefault="008A789F" w:rsidP="0014186D">
            <w:pPr>
              <w:pStyle w:val="a5"/>
              <w:numPr>
                <w:ilvl w:val="0"/>
                <w:numId w:val="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Грант Совета по грантам Президента РФ для поддержки молодых  российских ученых - докторов наук МД-7457.2013.7 (Победитель конкурса 2013 года).</w:t>
            </w:r>
          </w:p>
          <w:p w:rsidR="008A789F" w:rsidRPr="00F22C34" w:rsidRDefault="008A789F" w:rsidP="00F22C34">
            <w:pPr>
              <w:pStyle w:val="a5"/>
              <w:numPr>
                <w:ilvl w:val="0"/>
                <w:numId w:val="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sz w:val="24"/>
                <w:szCs w:val="24"/>
              </w:rPr>
              <w:t>Грант Совета по грантам Президента РФ для поддержки ведущих научных школ РФ  НШ-4994.2018.7 (Победитель конкурса 2018 года).</w:t>
            </w: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6E79A3" w:rsidRDefault="006E79A3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7CC"/>
    <w:multiLevelType w:val="hybridMultilevel"/>
    <w:tmpl w:val="424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F36"/>
    <w:multiLevelType w:val="hybridMultilevel"/>
    <w:tmpl w:val="3F7C0D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4E30B87"/>
    <w:multiLevelType w:val="hybridMultilevel"/>
    <w:tmpl w:val="50ECD2A6"/>
    <w:lvl w:ilvl="0" w:tplc="3FC6F9F8">
      <w:start w:val="1"/>
      <w:numFmt w:val="decimal"/>
      <w:lvlText w:val="%1."/>
      <w:lvlJc w:val="left"/>
      <w:pPr>
        <w:ind w:left="1098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B35C94"/>
    <w:multiLevelType w:val="hybridMultilevel"/>
    <w:tmpl w:val="424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37B27"/>
    <w:rsid w:val="0014186D"/>
    <w:rsid w:val="001A5AE2"/>
    <w:rsid w:val="001E2942"/>
    <w:rsid w:val="0020764F"/>
    <w:rsid w:val="002E7E75"/>
    <w:rsid w:val="00397436"/>
    <w:rsid w:val="004F7211"/>
    <w:rsid w:val="00692B73"/>
    <w:rsid w:val="006E79A3"/>
    <w:rsid w:val="00746A2F"/>
    <w:rsid w:val="00770DE6"/>
    <w:rsid w:val="008A789F"/>
    <w:rsid w:val="0095767D"/>
    <w:rsid w:val="00A5259D"/>
    <w:rsid w:val="00CA5B16"/>
    <w:rsid w:val="00D444A2"/>
    <w:rsid w:val="00D83218"/>
    <w:rsid w:val="00E22307"/>
    <w:rsid w:val="00E567ED"/>
    <w:rsid w:val="00E80EB7"/>
    <w:rsid w:val="00F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Chernik Tatiana</cp:lastModifiedBy>
  <cp:revision>14</cp:revision>
  <dcterms:created xsi:type="dcterms:W3CDTF">2022-01-26T12:57:00Z</dcterms:created>
  <dcterms:modified xsi:type="dcterms:W3CDTF">2023-10-13T08:02:00Z</dcterms:modified>
</cp:coreProperties>
</file>